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Kulkarni Samarth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CRISPR THERAPEUTICS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 WEST FIRST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CRISPR Therapeutics AG</w:t>
              </w:r>
            </w:hyperlink>
            <w:r>
              <w:rPr/>
              <w:t xml:space="preserve"> [ </w:t>
            </w:r>
            <w:r>
              <w:rPr>
                <w:rFonts w:ascii="Times;serif" w:hAnsi="Times;serif"/>
                <w:color w:val="0000FF"/>
                <w:sz w:val="24"/>
                <w:shd w:fill="FFFFFF" w:val="clear"/>
              </w:rPr>
              <w:t>CRSP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263,834</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4,098</w:t>
            </w:r>
            <w:r>
              <w:rPr>
                <w:rFonts w:ascii="Times;serif" w:hAnsi="Times;serif"/>
                <w:color w:val="008000"/>
                <w:position w:val="7"/>
                <w:sz w:val="16"/>
                <w:sz w:val="20"/>
                <w:shd w:fill="FFFFFF" w:val="clear"/>
              </w:rPr>
              <w:t>(2)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49.26</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259,736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8,333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CRSP Common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reported represents the number of shares required to be sold by the reporting person to cover the tax withholding obligation in connection with the vesting of these restricted stock units. This sale is mandated by the Company's RSU Settlement Policy to fund the tax withholding obligation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restricted stock unit award was granted on October 13, 2023 with respect to 25,000 Common Shares, with (i) one third of the shares vesting on October 13, 2024, (ii) one third of the shares vesting on October 13, 2025, and (iii) one third of the shares vesting on October 13,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Ryland Waldinger,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2019" TargetMode="External"/><Relationship Id="rId5" Type="http://schemas.openxmlformats.org/officeDocument/2006/relationships/hyperlink" Target="http://www.sec.gov/cgi-bin/browse-edgar?action=getcompany&amp;CIK=0001674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719</Words>
  <Characters>3849</Characters>
  <CharactersWithSpaces>4478</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