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333-221491</w:t>
      </w:r>
    </w:p>
    <w:p>
      <w:pPr>
        <w:spacing w:after="0" w:line="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 prospectus dated December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160020</wp:posOffset>
            </wp:positionV>
            <wp:extent cx="1115060" cy="1115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5060" cy="1115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165,636</w:t>
      </w:r>
    </w:p>
    <w:p>
      <w:pPr>
        <w:spacing w:after="0" w:line="2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255905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200" w:right="220" w:firstLine="441"/>
        <w:spacing w:after="0" w:line="258" w:lineRule="auto"/>
        <w:rPr>
          <w:sz w:val="20"/>
          <w:szCs w:val="20"/>
          <w:color w:val="auto"/>
        </w:rPr>
      </w:pPr>
      <w:r>
        <w:rPr>
          <w:rFonts w:ascii="Times New Roman" w:cs="Times New Roman" w:eastAsia="Times New Roman" w:hAnsi="Times New Roman"/>
          <w:sz w:val="18"/>
          <w:szCs w:val="18"/>
          <w:color w:val="auto"/>
        </w:rPr>
        <w:t>We are offering an aggregate of 165,636 of our common shares directly to ViaCyte, Inc., or ViaCyte, pursuant to a Research Collaboration Agreement, dated September 17, 2018, or the Collaboration Agreement, entered into by us and ViaCyte. In accordance with the terms of the Collaboration Agreement, we may issue an aggregate of approximately $15.0 million of our ordinary shares to ViaCyte in two separate tranches. This prospectus, for the sale of 165,636 common shares, relates to the sale of the first tranche of shares. See “Plan of Distribution” on page S-12 for additional information regarding the terms of the Collaboration Agreement and the shares issuable to ViaCyte.</w:t>
      </w:r>
    </w:p>
    <w:p>
      <w:pPr>
        <w:spacing w:after="0" w:line="18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not paying underwriting discounts or commissions, nor are we utilizing the services of any placement agent for this offering.</w:t>
      </w:r>
    </w:p>
    <w:p>
      <w:pPr>
        <w:spacing w:after="0" w:line="225" w:lineRule="exact"/>
        <w:rPr>
          <w:sz w:val="24"/>
          <w:szCs w:val="24"/>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“CRSP.” The last reported sale price of the common shares on September 24, 2018 was $45.28 per share.</w:t>
      </w:r>
    </w:p>
    <w:p>
      <w:pPr>
        <w:spacing w:after="0" w:line="162" w:lineRule="exact"/>
        <w:rPr>
          <w:sz w:val="24"/>
          <w:szCs w:val="24"/>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as such, have elected to comply with certain reduced public company reporting requirements for this prospectus supplement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200025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200" w:right="60" w:firstLine="441"/>
        <w:spacing w:after="0" w:line="26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Investing in our securities involves risks. See the “</w:t>
      </w:r>
      <w:hyperlink w:anchor="page8">
        <w:r>
          <w:rPr>
            <w:rFonts w:ascii="Times New Roman" w:cs="Times New Roman" w:eastAsia="Times New Roman" w:hAnsi="Times New Roman"/>
            <w:sz w:val="21"/>
            <w:szCs w:val="21"/>
            <w:b w:val="1"/>
            <w:bCs w:val="1"/>
            <w:u w:val="single" w:color="auto"/>
            <w:color w:val="0000EE"/>
          </w:rPr>
          <w:t>Risk Factors</w:t>
        </w:r>
      </w:hyperlink>
      <w:r>
        <w:rPr>
          <w:rFonts w:ascii="Times New Roman" w:cs="Times New Roman" w:eastAsia="Times New Roman" w:hAnsi="Times New Roman"/>
          <w:sz w:val="21"/>
          <w:szCs w:val="21"/>
          <w:b w:val="1"/>
          <w:bCs w:val="1"/>
          <w:color w:val="auto"/>
        </w:rPr>
        <w:t>” on page S-6 of this prospectus supplement, as well as in the documents incorporated or deemed to be incorporated by reference into this prospectus supplement and the accompanying prospectus, to read more about factors you should consider before buying the common shares.</w:t>
      </w:r>
    </w:p>
    <w:p>
      <w:pPr>
        <w:spacing w:after="0" w:line="161" w:lineRule="exact"/>
        <w:rPr>
          <w:sz w:val="24"/>
          <w:szCs w:val="24"/>
          <w:color w:val="auto"/>
        </w:rPr>
      </w:pPr>
    </w:p>
    <w:p>
      <w:pPr>
        <w:ind w:left="200" w:right="1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24, 2018.</w:t>
      </w:r>
    </w:p>
    <w:p>
      <w:pPr>
        <w:sectPr>
          <w:pgSz w:w="11900" w:h="16838" w:orient="portrait"/>
          <w:cols w:equalWidth="0" w:num="1">
            <w:col w:w="11220"/>
          </w:cols>
          <w:pgMar w:left="24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40" w:type="dxa"/>
            <w:vAlign w:val="bottom"/>
          </w:tcPr>
          <w:p>
            <w:pPr>
              <w:spacing w:after="0"/>
              <w:rPr>
                <w:sz w:val="20"/>
                <w:szCs w:val="20"/>
                <w:color w:val="auto"/>
              </w:rPr>
            </w:pPr>
          </w:p>
        </w:tc>
      </w:tr>
      <w:tr>
        <w:trPr>
          <w:trHeight w:val="432"/>
        </w:trPr>
        <w:tc>
          <w:tcPr>
            <w:tcW w:w="85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40" w:type="dxa"/>
            <w:vAlign w:val="bottom"/>
          </w:tcPr>
          <w:p>
            <w:pPr>
              <w:spacing w:after="0"/>
              <w:rPr>
                <w:sz w:val="24"/>
                <w:szCs w:val="24"/>
                <w:color w:val="auto"/>
              </w:rPr>
            </w:pPr>
          </w:p>
        </w:tc>
      </w:tr>
      <w:tr>
        <w:trPr>
          <w:trHeight w:val="373"/>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ABOUT THIS PROSPECTUS SUPPLEMENT</w:t>
              </w:r>
            </w:hyperlink>
          </w:p>
        </w:tc>
        <w:tc>
          <w:tcPr>
            <w:tcW w:w="5100" w:type="dxa"/>
            <w:vAlign w:val="bottom"/>
            <w:gridSpan w:val="8"/>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3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PROSPECTUS SUPPLEMENT SUMMARY</w:t>
              </w:r>
            </w:hyperlink>
          </w:p>
        </w:tc>
        <w:tc>
          <w:tcPr>
            <w:tcW w:w="524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THE OFFERING</w:t>
              </w:r>
            </w:hyperlink>
          </w:p>
        </w:tc>
        <w:tc>
          <w:tcPr>
            <w:tcW w:w="7260" w:type="dxa"/>
            <w:vAlign w:val="bottom"/>
            <w:gridSpan w:val="2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RISK FACTORS</w:t>
              </w:r>
            </w:hyperlink>
          </w:p>
        </w:tc>
        <w:tc>
          <w:tcPr>
            <w:tcW w:w="7280" w:type="dxa"/>
            <w:vAlign w:val="bottom"/>
            <w:gridSpan w:val="2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CAUTIONARY NOTE REGARDING FORWARD-LOOKING STATEMENTS</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USE OF PROCEEDS</w:t>
              </w:r>
            </w:hyperlink>
          </w:p>
        </w:tc>
        <w:tc>
          <w:tcPr>
            <w:tcW w:w="4180" w:type="dxa"/>
            <w:vAlign w:val="bottom"/>
            <w:tcBorders>
              <w:top w:val="single" w:sz="8" w:color="0000EE"/>
            </w:tcBorders>
            <w:gridSpan w:val="17"/>
          </w:tcPr>
          <w:p>
            <w:pPr>
              <w:spacing w:after="0"/>
              <w:rPr>
                <w:sz w:val="17"/>
                <w:szCs w:val="17"/>
                <w:color w:val="auto"/>
              </w:rPr>
            </w:pPr>
          </w:p>
        </w:tc>
        <w:tc>
          <w:tcPr>
            <w:tcW w:w="276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PRICE RANGE OF COMMON SHARES</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DIVIDEND POLICY</w:t>
              </w:r>
            </w:hyperlink>
          </w:p>
        </w:tc>
        <w:tc>
          <w:tcPr>
            <w:tcW w:w="1480" w:type="dxa"/>
            <w:vAlign w:val="bottom"/>
            <w:tcBorders>
              <w:top w:val="single" w:sz="8" w:color="0000EE"/>
            </w:tcBorders>
            <w:gridSpan w:val="9"/>
          </w:tcPr>
          <w:p>
            <w:pPr>
              <w:spacing w:after="0"/>
              <w:rPr>
                <w:sz w:val="17"/>
                <w:szCs w:val="17"/>
                <w:color w:val="auto"/>
              </w:rPr>
            </w:pPr>
          </w:p>
        </w:tc>
        <w:tc>
          <w:tcPr>
            <w:tcW w:w="548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PLAN OF DISTRIBUTION</w:t>
              </w:r>
            </w:hyperlink>
          </w:p>
        </w:tc>
        <w:tc>
          <w:tcPr>
            <w:tcW w:w="6480" w:type="dxa"/>
            <w:vAlign w:val="bottom"/>
            <w:gridSpan w:val="1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15">
              <w:r>
                <w:rPr>
                  <w:rFonts w:ascii="Times New Roman" w:cs="Times New Roman" w:eastAsia="Times New Roman" w:hAnsi="Times New Roman"/>
                  <w:sz w:val="18"/>
                  <w:szCs w:val="18"/>
                  <w:color w:val="0000EE"/>
                  <w:w w:val="94"/>
                </w:rPr>
                <w:t>TAXATION</w:t>
              </w:r>
            </w:hyperlink>
          </w:p>
        </w:tc>
        <w:tc>
          <w:tcPr>
            <w:tcW w:w="7640" w:type="dxa"/>
            <w:vAlign w:val="bottom"/>
            <w:gridSpan w:val="2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LEGAL MATTERS</w:t>
              </w:r>
            </w:hyperlink>
          </w:p>
        </w:tc>
        <w:tc>
          <w:tcPr>
            <w:tcW w:w="7080" w:type="dxa"/>
            <w:vAlign w:val="bottom"/>
            <w:gridSpan w:val="2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EXPERTS</w:t>
              </w:r>
            </w:hyperlink>
          </w:p>
        </w:tc>
        <w:tc>
          <w:tcPr>
            <w:tcW w:w="7760" w:type="dxa"/>
            <w:vAlign w:val="bottom"/>
            <w:gridSpan w:val="2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3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WHERE YOU CAN FIND MORE INFORMATION</w:t>
              </w:r>
            </w:hyperlink>
          </w:p>
        </w:tc>
        <w:tc>
          <w:tcPr>
            <w:tcW w:w="472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INCORPORATION BY REFERENCE</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480"/>
        </w:trPr>
        <w:tc>
          <w:tcPr>
            <w:tcW w:w="28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720" w:type="dxa"/>
            <w:vAlign w:val="bottom"/>
            <w:gridSpan w:val="12"/>
          </w:tcPr>
          <w:p>
            <w:pPr>
              <w:spacing w:after="0"/>
              <w:rPr>
                <w:sz w:val="24"/>
                <w:szCs w:val="24"/>
                <w:color w:val="auto"/>
              </w:rPr>
            </w:pPr>
          </w:p>
        </w:tc>
        <w:tc>
          <w:tcPr>
            <w:tcW w:w="2440" w:type="dxa"/>
            <w:vAlign w:val="bottom"/>
          </w:tcPr>
          <w:p>
            <w:pPr>
              <w:spacing w:after="0"/>
              <w:rPr>
                <w:sz w:val="24"/>
                <w:szCs w:val="24"/>
                <w:color w:val="auto"/>
              </w:rPr>
            </w:pPr>
          </w:p>
        </w:tc>
      </w:tr>
      <w:tr>
        <w:trPr>
          <w:trHeight w:val="432"/>
        </w:trPr>
        <w:tc>
          <w:tcPr>
            <w:tcW w:w="2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ABOUT THIS PROSPECTUS</w:t>
              </w:r>
            </w:hyperlink>
          </w:p>
        </w:tc>
        <w:tc>
          <w:tcPr>
            <w:tcW w:w="6300" w:type="dxa"/>
            <w:vAlign w:val="bottom"/>
            <w:gridSpan w:val="15"/>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CRISPR THERAPEUTICS AG</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RISK FACTORS</w:t>
              </w:r>
            </w:hyperlink>
          </w:p>
        </w:tc>
        <w:tc>
          <w:tcPr>
            <w:tcW w:w="1040" w:type="dxa"/>
            <w:vAlign w:val="bottom"/>
            <w:tcBorders>
              <w:top w:val="single" w:sz="8" w:color="0000EE"/>
            </w:tcBorders>
            <w:gridSpan w:val="8"/>
          </w:tcPr>
          <w:p>
            <w:pPr>
              <w:spacing w:after="0"/>
              <w:rPr>
                <w:sz w:val="17"/>
                <w:szCs w:val="17"/>
                <w:color w:val="auto"/>
              </w:rPr>
            </w:pPr>
          </w:p>
        </w:tc>
        <w:tc>
          <w:tcPr>
            <w:tcW w:w="6240" w:type="dxa"/>
            <w:vAlign w:val="bottom"/>
            <w:gridSpan w:val="1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3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SPECIAL NOTE REGARDING FORWARD-LOOKING STATEMENTS</w:t>
              </w:r>
            </w:hyperlink>
          </w:p>
        </w:tc>
        <w:tc>
          <w:tcPr>
            <w:tcW w:w="320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RATIO OF EARNINGS TO FIXED CHARGES</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USE OF PROCEEDS</w:t>
              </w:r>
            </w:hyperlink>
          </w:p>
        </w:tc>
        <w:tc>
          <w:tcPr>
            <w:tcW w:w="1900" w:type="dxa"/>
            <w:vAlign w:val="bottom"/>
            <w:tcBorders>
              <w:top w:val="single" w:sz="8" w:color="0000EE"/>
            </w:tcBorders>
            <w:gridSpan w:val="12"/>
          </w:tcPr>
          <w:p>
            <w:pPr>
              <w:spacing w:after="0"/>
              <w:rPr>
                <w:sz w:val="17"/>
                <w:szCs w:val="17"/>
                <w:color w:val="auto"/>
              </w:rPr>
            </w:pPr>
          </w:p>
        </w:tc>
        <w:tc>
          <w:tcPr>
            <w:tcW w:w="504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COMPARISON OF SWISS LAW AND DELAWARE LAW</w:t>
              </w:r>
            </w:hyperlink>
          </w:p>
        </w:tc>
        <w:tc>
          <w:tcPr>
            <w:tcW w:w="418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DESCRIPTION OF DEBT SECURITIES</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0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DESCRIPTION OF WARRANTS</w:t>
              </w:r>
            </w:hyperlink>
          </w:p>
        </w:tc>
        <w:tc>
          <w:tcPr>
            <w:tcW w:w="552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4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DESCRIPTION OF UNITS</w:t>
              </w:r>
            </w:hyperlink>
          </w:p>
        </w:tc>
        <w:tc>
          <w:tcPr>
            <w:tcW w:w="606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DESCRIPTION OF SUBSCRIPTION RIGHTS</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PLAN OF DISTRIBUTION</w:t>
              </w:r>
            </w:hyperlink>
          </w:p>
        </w:tc>
        <w:tc>
          <w:tcPr>
            <w:tcW w:w="1400" w:type="dxa"/>
            <w:vAlign w:val="bottom"/>
            <w:tcBorders>
              <w:top w:val="single" w:sz="8" w:color="0000EE"/>
            </w:tcBorders>
            <w:gridSpan w:val="9"/>
          </w:tcPr>
          <w:p>
            <w:pPr>
              <w:spacing w:after="0"/>
              <w:rPr>
                <w:sz w:val="17"/>
                <w:szCs w:val="17"/>
                <w:color w:val="auto"/>
              </w:rPr>
            </w:pPr>
          </w:p>
        </w:tc>
        <w:tc>
          <w:tcPr>
            <w:tcW w:w="508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LEGAL MATTERS</w:t>
              </w:r>
            </w:hyperlink>
          </w:p>
        </w:tc>
        <w:tc>
          <w:tcPr>
            <w:tcW w:w="7080" w:type="dxa"/>
            <w:vAlign w:val="bottom"/>
            <w:gridSpan w:val="2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EXPERTS</w:t>
              </w:r>
            </w:hyperlink>
          </w:p>
        </w:tc>
        <w:tc>
          <w:tcPr>
            <w:tcW w:w="7760" w:type="dxa"/>
            <w:vAlign w:val="bottom"/>
            <w:gridSpan w:val="2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3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WHERE YOU CAN FIND MORE INFORMATION</w:t>
              </w:r>
            </w:hyperlink>
          </w:p>
        </w:tc>
        <w:tc>
          <w:tcPr>
            <w:tcW w:w="472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540" w:type="dxa"/>
            <w:vAlign w:val="bottom"/>
            <w:gridSpan w:val="25"/>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INCORPORATION OF CERTAIN INFORMATION BY REFERENCE</w:t>
              </w:r>
            </w:hyperlink>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ectPr>
          <w:pgSz w:w="11900" w:h="16838" w:orient="portrait"/>
          <w:cols w:equalWidth="0" w:num="1">
            <w:col w:w="11180"/>
          </w:cols>
          <w:pgMar w:left="240" w:top="455" w:right="4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200" w:right="220" w:firstLine="441"/>
        <w:spacing w:after="0" w:line="256" w:lineRule="auto"/>
        <w:rPr>
          <w:sz w:val="20"/>
          <w:szCs w:val="20"/>
          <w:color w:val="auto"/>
        </w:rPr>
      </w:pPr>
      <w:r>
        <w:rPr>
          <w:rFonts w:ascii="Times New Roman" w:cs="Times New Roman" w:eastAsia="Times New Roman" w:hAnsi="Times New Roman"/>
          <w:sz w:val="18"/>
          <w:szCs w:val="18"/>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88"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We have not authorized anyone to provide any information or to make any representations other than those contained in this prospectus supplement or in any free writing prospectuses we have prepared.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185" w:lineRule="exact"/>
        <w:rPr>
          <w:sz w:val="20"/>
          <w:szCs w:val="20"/>
          <w:color w:val="auto"/>
        </w:rPr>
      </w:pPr>
    </w:p>
    <w:p>
      <w:pPr>
        <w:ind w:left="200" w:right="220" w:firstLine="441"/>
        <w:spacing w:after="0" w:line="255" w:lineRule="auto"/>
        <w:rPr>
          <w:sz w:val="20"/>
          <w:szCs w:val="20"/>
          <w:color w:val="auto"/>
        </w:rPr>
      </w:pPr>
      <w:r>
        <w:rPr>
          <w:rFonts w:ascii="Times New Roman" w:cs="Times New Roman" w:eastAsia="Times New Roman" w:hAnsi="Times New Roman"/>
          <w:sz w:val="18"/>
          <w:szCs w:val="18"/>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89" w:lineRule="exact"/>
        <w:rPr>
          <w:sz w:val="20"/>
          <w:szCs w:val="20"/>
          <w:color w:val="auto"/>
        </w:rPr>
      </w:pPr>
    </w:p>
    <w:p>
      <w:pPr>
        <w:ind w:left="200" w:right="580" w:firstLine="441"/>
        <w:spacing w:after="0" w:line="289" w:lineRule="auto"/>
        <w:rPr>
          <w:sz w:val="20"/>
          <w:szCs w:val="20"/>
          <w:color w:val="auto"/>
        </w:rPr>
      </w:pPr>
      <w:r>
        <w:rPr>
          <w:rFonts w:ascii="Times New Roman" w:cs="Times New Roman" w:eastAsia="Times New Roman" w:hAnsi="Times New Roman"/>
          <w:sz w:val="17"/>
          <w:szCs w:val="17"/>
          <w:color w:val="auto"/>
        </w:rPr>
        <w:t>Unless otherwise stated, all references in this prospectus supplement or the accompanying prospectus to “us,” “our,” “CRISPR,” “CRISPR Therapeutics AG,” “we,” the “Company” and similar designations refer, collectively, to CRISPR Therapeutics AG, a Swiss stock corporation (</w:t>
      </w:r>
      <w:r>
        <w:rPr>
          <w:rFonts w:ascii="Times New Roman" w:cs="Times New Roman" w:eastAsia="Times New Roman" w:hAnsi="Times New Roman"/>
          <w:sz w:val="17"/>
          <w:szCs w:val="17"/>
          <w:i w:val="1"/>
          <w:iCs w:val="1"/>
          <w:color w:val="auto"/>
        </w:rPr>
        <w:t>Aktiengesellschaft</w:t>
      </w:r>
      <w:r>
        <w:rPr>
          <w:rFonts w:ascii="Times New Roman" w:cs="Times New Roman" w:eastAsia="Times New Roman" w:hAnsi="Times New Roman"/>
          <w:sz w:val="17"/>
          <w:szCs w:val="17"/>
          <w:color w:val="auto"/>
        </w:rPr>
        <w:t>), and its consolidated subsidiaries, CRISPR Therapeutics, Inc., TRACR Hematology Ltd. and CRISPR Therapeutics Ltd.</w:t>
      </w:r>
    </w:p>
    <w:p>
      <w:pPr>
        <w:spacing w:after="0" w:line="154" w:lineRule="exact"/>
        <w:rPr>
          <w:sz w:val="20"/>
          <w:szCs w:val="20"/>
          <w:color w:val="auto"/>
        </w:rPr>
      </w:pPr>
    </w:p>
    <w:p>
      <w:pPr>
        <w:ind w:left="200" w:right="12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87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shares. You should read this entire prospectus supplement and the accompanying prospectus carefully, especially the risks of investing in our common shares discussed under “Risk Factors” beginning on page S-5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80" w:right="20" w:firstLine="426"/>
        <w:spacing w:after="0" w:line="255" w:lineRule="auto"/>
        <w:rPr>
          <w:sz w:val="20"/>
          <w:szCs w:val="20"/>
          <w:color w:val="auto"/>
        </w:rPr>
      </w:pPr>
      <w:r>
        <w:rPr>
          <w:rFonts w:ascii="Times New Roman" w:cs="Times New Roman" w:eastAsia="Times New Roman" w:hAnsi="Times New Roman"/>
          <w:sz w:val="18"/>
          <w:szCs w:val="18"/>
          <w:color w:val="auto"/>
        </w:rPr>
        <w:t>We are a leading gene editing company focused on the development of CRISPR/Cas9-based therapeutics. CRISPR/Cas9 stands for Clustered, Regularly Interspaced Short Palindromic Repeats (CRISPR) Associated protein-9 and is a revolutionary technology for gene editing, the process of precisely altering specific sequences of genomic DNA. We are applying this technology to potentially treat a broad set of both rare and common diseases by disrupting, correcting or regulating disease-related genes. We believe that our scientific expertise, together with our gene editing approach, may enable an entirely new class of highly effective and potentially curative treatments for patients for whom current biopharmaceutical approaches have had limited success. Our most advanced programs target beta-thalassemia and sickle cell disease, two hemoglobinopathies that have high unmet medical need.</w:t>
      </w:r>
    </w:p>
    <w:p>
      <w:pPr>
        <w:spacing w:after="0" w:line="189" w:lineRule="exact"/>
        <w:rPr>
          <w:sz w:val="20"/>
          <w:szCs w:val="20"/>
          <w:color w:val="auto"/>
        </w:rPr>
      </w:pPr>
    </w:p>
    <w:p>
      <w:pPr>
        <w:ind w:left="380" w:right="20" w:firstLine="426"/>
        <w:spacing w:after="0" w:line="255" w:lineRule="auto"/>
        <w:rPr>
          <w:sz w:val="20"/>
          <w:szCs w:val="20"/>
          <w:color w:val="auto"/>
        </w:rPr>
      </w:pPr>
      <w:r>
        <w:rPr>
          <w:rFonts w:ascii="Times New Roman" w:cs="Times New Roman" w:eastAsia="Times New Roman" w:hAnsi="Times New Roman"/>
          <w:sz w:val="18"/>
          <w:szCs w:val="18"/>
          <w:color w:val="auto"/>
        </w:rPr>
        <w:t>The use of CRISPR/Cas9 for gene editing was derived from a naturally occurring viral defense mechanism in bacteria and has been described by leading scientific journals as a breakthrough technology. The application of CRISPR/Cas9 for gene editing was co-invented by one of our scientific founders, Dr. Emmanuelle Charpentier, a director of the Max-Planck Institute for Infection Biology in Berlin. Dr. Charpentier and her collaborators published work elucidating the mechanism by which the Cas9 endonuclease, a key component of CRISPR/Cas9, can be programmed to cut double-stranded DNA at specific locations. We have acquired rights to the foundational intellectual property encompassing CRISPR/Cas9 and related technologies from Dr. Charpentier, and continue to strengthen our intellectual property estate through our own research and additional in-licensing efforts, furthering our leadership in the development of CRISPR/Cas9-based therapeutics.</w:t>
      </w:r>
    </w:p>
    <w:p>
      <w:pPr>
        <w:spacing w:after="0" w:line="189" w:lineRule="exact"/>
        <w:rPr>
          <w:sz w:val="20"/>
          <w:szCs w:val="20"/>
          <w:color w:val="auto"/>
        </w:rPr>
      </w:pPr>
    </w:p>
    <w:p>
      <w:pPr>
        <w:ind w:left="380" w:right="20" w:firstLine="426"/>
        <w:spacing w:after="0" w:line="258" w:lineRule="auto"/>
        <w:rPr>
          <w:sz w:val="20"/>
          <w:szCs w:val="20"/>
          <w:color w:val="auto"/>
        </w:rPr>
      </w:pPr>
      <w:r>
        <w:rPr>
          <w:rFonts w:ascii="Times New Roman" w:cs="Times New Roman" w:eastAsia="Times New Roman" w:hAnsi="Times New Roman"/>
          <w:sz w:val="18"/>
          <w:szCs w:val="18"/>
          <w:color w:val="auto"/>
        </w:rPr>
        <w:t xml:space="preserve">Our product development and partnership strategies are designed to exploit the full potential of the CRISPR/Cas9 platform while maximizing the probability of successfully developing our product candidates. We are pursuing a two-pronged product development strategy using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Our most advanced product candidate, referred to as CTX001, targets sickle cell disease, or SCD, and beta-thalassemia with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whereby cells are harvested from a patient, treated with a CRISPR/Cas9-based therapeutic and reintroduced into the patient.</w:t>
      </w:r>
    </w:p>
    <w:p>
      <w:pPr>
        <w:spacing w:after="0" w:line="184" w:lineRule="exact"/>
        <w:rPr>
          <w:sz w:val="20"/>
          <w:szCs w:val="20"/>
          <w:color w:val="auto"/>
        </w:rPr>
      </w:pPr>
    </w:p>
    <w:p>
      <w:pPr>
        <w:ind w:left="380" w:right="40" w:firstLine="426"/>
        <w:spacing w:after="0" w:line="261" w:lineRule="auto"/>
        <w:rPr>
          <w:sz w:val="20"/>
          <w:szCs w:val="20"/>
          <w:color w:val="auto"/>
        </w:rPr>
      </w:pPr>
      <w:r>
        <w:rPr>
          <w:rFonts w:ascii="Times New Roman" w:cs="Times New Roman" w:eastAsia="Times New Roman" w:hAnsi="Times New Roman"/>
          <w:sz w:val="18"/>
          <w:szCs w:val="18"/>
          <w:color w:val="auto"/>
        </w:rPr>
        <w:t>We together with our partner, Vertex Pharmaceuticals, Incorporated, have obtained approvals of Clinical Trial Applications in multiple countries for both ß-thalassemia and SCD and remain on track to initiate a Phase 1/2 trial to assess the safety and efficacy of CTX001 in patients with transfusion dependent ß-thalassemia later this year. We have designed two single arm Phase 1/2 trials in which we plan to enroll up to 45 adult patients in each trial to assess the safety and efficacy of CTX001 in patients with ß-thalassemia and severe SCD.</w:t>
      </w:r>
    </w:p>
    <w:p>
      <w:pPr>
        <w:spacing w:after="0" w:line="178" w:lineRule="exact"/>
        <w:rPr>
          <w:sz w:val="20"/>
          <w:szCs w:val="20"/>
          <w:color w:val="auto"/>
        </w:rPr>
      </w:pPr>
    </w:p>
    <w:p>
      <w:pPr>
        <w:ind w:left="380" w:right="780" w:firstLine="426"/>
        <w:spacing w:after="0" w:line="284" w:lineRule="auto"/>
        <w:rPr>
          <w:sz w:val="20"/>
          <w:szCs w:val="20"/>
          <w:color w:val="auto"/>
        </w:rPr>
      </w:pPr>
      <w:r>
        <w:rPr>
          <w:rFonts w:ascii="Times New Roman" w:cs="Times New Roman" w:eastAsia="Times New Roman" w:hAnsi="Times New Roman"/>
          <w:sz w:val="18"/>
          <w:szCs w:val="18"/>
          <w:color w:val="auto"/>
        </w:rPr>
        <w:t xml:space="preserve">We have chosen to conduct our lead programs in these two hemoglobinopathies given the relative ease of editing genes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the significant unmet medical need associated with sickle cell disease and beta-thalassemia,</w:t>
      </w:r>
    </w:p>
    <w:p>
      <w:pPr>
        <w:spacing w:after="0" w:line="200" w:lineRule="exact"/>
        <w:rPr>
          <w:sz w:val="20"/>
          <w:szCs w:val="20"/>
          <w:color w:val="auto"/>
        </w:rPr>
      </w:pPr>
    </w:p>
    <w:p>
      <w:pPr>
        <w:spacing w:after="0" w:line="3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40"/>
          </w:cols>
          <w:pgMar w:left="240" w:top="455" w:right="6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050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80" w:right="100"/>
        <w:spacing w:after="0" w:line="254" w:lineRule="auto"/>
        <w:rPr>
          <w:sz w:val="20"/>
          <w:szCs w:val="20"/>
          <w:color w:val="auto"/>
        </w:rPr>
      </w:pPr>
      <w:r>
        <w:rPr>
          <w:rFonts w:ascii="Times New Roman" w:cs="Times New Roman" w:eastAsia="Times New Roman" w:hAnsi="Times New Roman"/>
          <w:sz w:val="18"/>
          <w:szCs w:val="18"/>
          <w:color w:val="auto"/>
        </w:rPr>
        <w:t xml:space="preserve">and the well-understood genetics of these diseases. Drawing from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editing expertise gained through our lead programs, we are advancing immuno-oncology cell therapy programs starting with CTX101, a healthy donor-derived gene-edited allogeneic CAR-T therapy targeting CD19-positive malignancies. In preclinical studies, we observed that CTX001 prolonged the survival of mice with a CD19-positive xenograft tumor model by approximately 20 days. In addition, we have two earlier stage allogenic CAR-T programs, CTX120 and CTX130, targeting C-Cell maturation antigen, or BCMA and CD70, respectively. In preclinical studies of CTX120, we observed complete elimination of a xenograft multiple myeloma tumor model in all mice treated with CTX120 across multiple dose cohorts. Similarly, in preclinical studies of CTX130, we observed complete elimination of a xenograft model of renal cell carcinoma in all mice treated with CTX130. Beyond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we are also pursuing select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applications, whereby the CRISPR/Cas9-based therapeutic is delivered directly to target cells within the human body. Our initial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applications will leverage well-established delivery technologies for gene-based therapeutics.</w:t>
      </w:r>
    </w:p>
    <w:p>
      <w:pPr>
        <w:spacing w:after="0" w:line="191" w:lineRule="exact"/>
        <w:rPr>
          <w:sz w:val="20"/>
          <w:szCs w:val="20"/>
          <w:color w:val="auto"/>
        </w:rPr>
      </w:pPr>
    </w:p>
    <w:p>
      <w:pPr>
        <w:ind w:left="380" w:right="80" w:firstLine="426"/>
        <w:spacing w:after="0" w:line="255" w:lineRule="auto"/>
        <w:rPr>
          <w:sz w:val="20"/>
          <w:szCs w:val="20"/>
          <w:color w:val="auto"/>
        </w:rPr>
      </w:pPr>
      <w:r>
        <w:rPr>
          <w:rFonts w:ascii="Times New Roman" w:cs="Times New Roman" w:eastAsia="Times New Roman" w:hAnsi="Times New Roman"/>
          <w:sz w:val="18"/>
          <w:szCs w:val="18"/>
          <w:color w:val="auto"/>
        </w:rPr>
        <w:t>Given the numerous potential therapeutic applications for CRISPR/Cas9, we have partnered strategically to broaden the indications we can pursue and accelerate development of programs by accessing specific technologies and/or disease-area expertise. In particular, we established a joint venture, called Casebia Therapeutics LLP, with Bayer HealthCare and its subsidiaries in which we have a 50% interest, and a collaboration agreement with Vertex Pharmaceuticals Incorporated in order to pursue specific indications where these companies have outstanding and distinctive capabilities. In December 2017, we entered into a joint development and commercialization agreement with Vertex to co-develop and co-commercialize CTX001 as part of our existing collaboration. The significant resource commitments by our partners underscore the potential of our platform, as well as their dedication to developing transformative CRISPR/Cas9-based therapeutics.</w:t>
      </w:r>
    </w:p>
    <w:p>
      <w:pPr>
        <w:spacing w:after="0" w:line="189" w:lineRule="exact"/>
        <w:rPr>
          <w:sz w:val="20"/>
          <w:szCs w:val="20"/>
          <w:color w:val="auto"/>
        </w:rPr>
      </w:pPr>
    </w:p>
    <w:p>
      <w:pPr>
        <w:ind w:left="380" w:right="420" w:firstLine="426"/>
        <w:spacing w:after="0" w:line="266" w:lineRule="auto"/>
        <w:rPr>
          <w:sz w:val="20"/>
          <w:szCs w:val="20"/>
          <w:color w:val="auto"/>
        </w:rPr>
      </w:pPr>
      <w:r>
        <w:rPr>
          <w:rFonts w:ascii="Times New Roman" w:cs="Times New Roman" w:eastAsia="Times New Roman" w:hAnsi="Times New Roman"/>
          <w:sz w:val="18"/>
          <w:szCs w:val="18"/>
          <w:color w:val="auto"/>
        </w:rPr>
        <w:t>Our mission is to create transformative gene-based medicines for serious human diseases. We believe that our highly experienced team, together with our scientific expertise, product development strategy, partnerships and intellectual property position us as a leader in the development of CRISPR/Cas9-based therapeutics.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80" w:firstLine="426"/>
        <w:spacing w:after="0" w:line="274" w:lineRule="auto"/>
        <w:rPr>
          <w:sz w:val="20"/>
          <w:szCs w:val="20"/>
          <w:color w:val="auto"/>
        </w:rPr>
      </w:pPr>
      <w:r>
        <w:rPr>
          <w:rFonts w:ascii="Times New Roman" w:cs="Times New Roman" w:eastAsia="Times New Roman" w:hAnsi="Times New Roman"/>
          <w:sz w:val="17"/>
          <w:szCs w:val="17"/>
          <w:color w:val="auto"/>
        </w:rPr>
        <w:t>On September 20, 2018, we entered into an underwriting agreement with Goldman Sachs &amp; Co. LLC, Piper Jaffray &amp; Co. and Barclays Capital Inc., as representatives for the underwriters, relating to the public offering of 4,210,526 common shares at a public offering price of $47.50 per share, before underwriting discounts. In addition, we granted the underwriters a 30-day option to purchase up to an additional 531,578 common shares from us at the public offering price less the underwriting discount. We anticipate gross proceeds from the offering, before deducting the underwriter discounts and commissions and other offering expenses, to be approximately $200 million, excluding any exercise of the underwriters’ option to purchase additional shares. The offering is expected to close on or about September 25, 2018, subject to customary closing conditions.</w:t>
      </w:r>
    </w:p>
    <w:p>
      <w:pPr>
        <w:spacing w:after="0" w:line="2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19" w:lineRule="exact"/>
        <w:rPr>
          <w:sz w:val="20"/>
          <w:szCs w:val="20"/>
          <w:color w:val="auto"/>
        </w:rPr>
      </w:pPr>
    </w:p>
    <w:p>
      <w:pPr>
        <w:ind w:left="380" w:right="20" w:firstLine="426"/>
        <w:spacing w:after="0" w:line="257" w:lineRule="auto"/>
        <w:rPr>
          <w:sz w:val="20"/>
          <w:szCs w:val="20"/>
          <w:color w:val="auto"/>
        </w:rPr>
      </w:pPr>
      <w:r>
        <w:rPr>
          <w:rFonts w:ascii="Times New Roman" w:cs="Times New Roman" w:eastAsia="Times New Roman" w:hAnsi="Times New Roman"/>
          <w:sz w:val="18"/>
          <w:szCs w:val="18"/>
          <w:color w:val="auto"/>
        </w:rPr>
        <w:t xml:space="preserve">We were incorporated as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xml:space="preserve"> on October 28, 2013 in Basel, Switzerland under the name Inception Genomics AG. We changed our name to CRISPR Therapeutics AG on April 28, 2014 and changed our domicile to the canton of Zug, Switzerland in July 2017. Our principal offices are located at Baarerstrasse 14, 6300 Zug, Switzerland and our principal research operations are in Cambridge, Massachusetts. Our telephone number is + 41 41 561 32 77. Our website is </w:t>
      </w:r>
      <w:r>
        <w:rPr>
          <w:rFonts w:ascii="Times New Roman" w:cs="Times New Roman" w:eastAsia="Times New Roman" w:hAnsi="Times New Roman"/>
          <w:sz w:val="18"/>
          <w:szCs w:val="18"/>
          <w:i w:val="1"/>
          <w:iCs w:val="1"/>
          <w:color w:val="auto"/>
        </w:rPr>
        <w:t>www.crisprtx.com</w:t>
      </w:r>
      <w:r>
        <w:rPr>
          <w:rFonts w:ascii="Times New Roman" w:cs="Times New Roman" w:eastAsia="Times New Roman" w:hAnsi="Times New Roman"/>
          <w:sz w:val="18"/>
          <w:szCs w:val="18"/>
          <w:color w:val="auto"/>
        </w:rPr>
        <w:t>. Our website and the information contained therein or connected thereto are not incorporated into this prospectus supplement, the accompanying prospectus or the registration statement of which they form a part.</w:t>
      </w:r>
    </w:p>
    <w:p>
      <w:pPr>
        <w:spacing w:after="0" w:line="185" w:lineRule="exact"/>
        <w:rPr>
          <w:sz w:val="20"/>
          <w:szCs w:val="20"/>
          <w:color w:val="auto"/>
        </w:rPr>
      </w:pPr>
    </w:p>
    <w:p>
      <w:pPr>
        <w:ind w:left="380" w:right="100" w:firstLine="426"/>
        <w:spacing w:after="0" w:line="282" w:lineRule="auto"/>
        <w:rPr>
          <w:sz w:val="20"/>
          <w:szCs w:val="20"/>
          <w:color w:val="auto"/>
        </w:rPr>
      </w:pPr>
      <w:r>
        <w:rPr>
          <w:rFonts w:ascii="Times New Roman" w:cs="Times New Roman" w:eastAsia="Times New Roman" w:hAnsi="Times New Roman"/>
          <w:sz w:val="18"/>
          <w:szCs w:val="18"/>
          <w:color w:val="auto"/>
        </w:rPr>
        <w:t>The trademarks, trade names and services marks appearing in this prospectus supplement and the accompanying prospectus are the property of their respective owners. Solely for convenience, the trademarks and</w:t>
      </w: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000"/>
          </w:cols>
          <w:pgMar w:left="24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1933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82" w:lineRule="auto"/>
        <w:rPr>
          <w:sz w:val="20"/>
          <w:szCs w:val="20"/>
          <w:color w:val="auto"/>
        </w:rPr>
      </w:pPr>
      <w:r>
        <w:rPr>
          <w:rFonts w:ascii="Times New Roman" w:cs="Times New Roman" w:eastAsia="Times New Roman" w:hAnsi="Times New Roman"/>
          <w:sz w:val="18"/>
          <w:szCs w:val="18"/>
          <w:color w:val="auto"/>
        </w:rPr>
        <w:t xml:space="preserve">trade names in this prospectus may be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80" w:firstLine="42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will remain an emerging growth company until the earlier of (i) December 31, 2021; (ii) the last day of the fiscal year in which we have total annual gross revenues of $1.07 billion or more; (iii) the date on which we have issued more than $1.0 billion in nonconvertible debt during the previous three years; or (iv) the date on which we are deemed to be a large accelerated filer under the rules of the Securities and Exchange Commission, which means the market value of our common shares that are held by non-affiliates exceeds $700 million as of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previous year. For so long as we remain an emerging growth company, we are permitted and intend to rely on exemptions from certain disclosure requirements that are applicable to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240" w:top="455" w:right="6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4626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46266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40"/>
          </w:cols>
          <w:pgMar w:left="240" w:top="455" w:right="719" w:bottom="1440" w:gutter="0" w:footer="0" w:header="0"/>
        </w:sectPr>
      </w:pP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Common shares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165,636 common shares.</w:t>
      </w:r>
    </w:p>
    <w:p>
      <w:pPr>
        <w:spacing w:after="0" w:line="207" w:lineRule="exact"/>
        <w:rPr>
          <w:sz w:val="20"/>
          <w:szCs w:val="20"/>
          <w:color w:val="auto"/>
        </w:rPr>
      </w:pPr>
    </w:p>
    <w:p>
      <w:pPr>
        <w:sectPr>
          <w:pgSz w:w="11900" w:h="16838" w:orient="portrait"/>
          <w:cols w:equalWidth="0" w:num="2">
            <w:col w:w="3700" w:space="720"/>
            <w:col w:w="6520"/>
          </w:cols>
          <w:pgMar w:left="240" w:top="455" w:right="719" w:bottom="1440" w:gutter="0" w:footer="0" w:header="0"/>
          <w:type w:val="continuous"/>
        </w:sectPr>
      </w:pPr>
    </w:p>
    <w:p>
      <w:pPr>
        <w:spacing w:after="0" w:line="66" w:lineRule="exact"/>
        <w:rPr>
          <w:sz w:val="20"/>
          <w:szCs w:val="20"/>
          <w:color w:val="auto"/>
        </w:rPr>
      </w:pPr>
    </w:p>
    <w:p>
      <w:pPr>
        <w:ind w:left="46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shares to be outstanding following the offering</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47,276,567 common shares.</w:t>
      </w:r>
    </w:p>
    <w:p>
      <w:pPr>
        <w:spacing w:after="0" w:line="488" w:lineRule="exact"/>
        <w:rPr>
          <w:sz w:val="20"/>
          <w:szCs w:val="20"/>
          <w:color w:val="auto"/>
        </w:rPr>
      </w:pPr>
    </w:p>
    <w:p>
      <w:pPr>
        <w:sectPr>
          <w:pgSz w:w="11900" w:h="16838" w:orient="portrait"/>
          <w:cols w:equalWidth="0" w:num="2">
            <w:col w:w="4040" w:space="380"/>
            <w:col w:w="6520"/>
          </w:cols>
          <w:pgMar w:left="240" w:top="455" w:right="71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will not receive any net proceeds from this offering. See “Use of Proceeds” on page S-9 for additional information.</w:t>
      </w:r>
    </w:p>
    <w:p>
      <w:pPr>
        <w:spacing w:after="0" w:line="185" w:lineRule="exact"/>
        <w:rPr>
          <w:sz w:val="20"/>
          <w:szCs w:val="20"/>
          <w:color w:val="auto"/>
        </w:rPr>
      </w:pPr>
    </w:p>
    <w:p>
      <w:pPr>
        <w:sectPr>
          <w:pgSz w:w="11900" w:h="16838" w:orient="portrait"/>
          <w:cols w:equalWidth="0" w:num="2">
            <w:col w:w="3700" w:space="720"/>
            <w:col w:w="6520"/>
          </w:cols>
          <w:pgMar w:left="240" w:top="455" w:right="71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Investing in our common shares involves risks. See “Risk Factors” beginning on page S-6 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200" w:lineRule="exact"/>
        <w:rPr>
          <w:sz w:val="20"/>
          <w:szCs w:val="20"/>
          <w:color w:val="auto"/>
        </w:rPr>
      </w:pPr>
    </w:p>
    <w:p>
      <w:pPr>
        <w:sectPr>
          <w:pgSz w:w="11900" w:h="16838" w:orient="portrait"/>
          <w:cols w:equalWidth="0" w:num="2">
            <w:col w:w="3700" w:space="720"/>
            <w:col w:w="6520"/>
          </w:cols>
          <w:pgMar w:left="240" w:top="455" w:right="719" w:bottom="1440" w:gutter="0" w:footer="0" w:header="0"/>
          <w:type w:val="continuous"/>
        </w:sectPr>
      </w:pP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“CRSP”</w:t>
      </w:r>
    </w:p>
    <w:p>
      <w:pPr>
        <w:spacing w:after="0" w:line="207" w:lineRule="exact"/>
        <w:rPr>
          <w:sz w:val="20"/>
          <w:szCs w:val="20"/>
          <w:color w:val="auto"/>
        </w:rPr>
      </w:pPr>
    </w:p>
    <w:p>
      <w:pPr>
        <w:sectPr>
          <w:pgSz w:w="11900" w:h="16838" w:orient="portrait"/>
          <w:cols w:equalWidth="0" w:num="2">
            <w:col w:w="3700" w:space="720"/>
            <w:col w:w="6520"/>
          </w:cols>
          <w:pgMar w:left="240" w:top="455" w:right="719" w:bottom="1440" w:gutter="0" w:footer="0" w:header="0"/>
          <w:type w:val="continuous"/>
        </w:sectPr>
      </w:pPr>
    </w:p>
    <w:p>
      <w:pPr>
        <w:spacing w:after="0" w:line="43" w:lineRule="exact"/>
        <w:rPr>
          <w:sz w:val="20"/>
          <w:szCs w:val="20"/>
          <w:color w:val="auto"/>
        </w:rPr>
      </w:pPr>
    </w:p>
    <w:p>
      <w:pPr>
        <w:ind w:left="380" w:right="100" w:firstLine="426"/>
        <w:spacing w:after="0" w:line="282" w:lineRule="auto"/>
        <w:rPr>
          <w:sz w:val="20"/>
          <w:szCs w:val="20"/>
          <w:color w:val="auto"/>
        </w:rPr>
      </w:pPr>
      <w:r>
        <w:rPr>
          <w:rFonts w:ascii="Times New Roman" w:cs="Times New Roman" w:eastAsia="Times New Roman" w:hAnsi="Times New Roman"/>
          <w:sz w:val="18"/>
          <w:szCs w:val="18"/>
          <w:color w:val="auto"/>
        </w:rPr>
        <w:t>The number of common shares to be outstanding after the offering is based on 47,110,931 common shares outstanding as of June 30, 2018, including 39,096 issued but unvested restricted shares that are not considered outstanding for accounting purposes until vested, but excludes:</w:t>
      </w:r>
    </w:p>
    <w:p>
      <w:pPr>
        <w:spacing w:after="0" w:line="67" w:lineRule="exact"/>
        <w:rPr>
          <w:sz w:val="20"/>
          <w:szCs w:val="20"/>
          <w:color w:val="auto"/>
        </w:rPr>
      </w:pPr>
    </w:p>
    <w:p>
      <w:pPr>
        <w:ind w:left="1220" w:right="80" w:hanging="307"/>
        <w:spacing w:after="0" w:line="282" w:lineRule="auto"/>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6,617,181 of our common shares issuable upon the exercise of options outstanding as of June 30, 2018 at a weighted-average exercise price of $23.35 per common share;</w:t>
      </w:r>
    </w:p>
    <w:p>
      <w:pPr>
        <w:spacing w:after="0" w:line="67" w:lineRule="exact"/>
        <w:rPr>
          <w:rFonts w:ascii="Times New Roman" w:cs="Times New Roman" w:eastAsia="Times New Roman" w:hAnsi="Times New Roman"/>
          <w:sz w:val="18"/>
          <w:szCs w:val="18"/>
          <w:color w:val="auto"/>
        </w:rPr>
      </w:pPr>
    </w:p>
    <w:p>
      <w:pPr>
        <w:ind w:left="1220" w:right="20" w:hanging="307"/>
        <w:spacing w:after="0" w:line="282" w:lineRule="auto"/>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130,834 of our common shares reserved for issuance upon the vesting, release and settlement of restricted stock units outstanding as of June 30, 2018;</w:t>
      </w:r>
    </w:p>
    <w:p>
      <w:pPr>
        <w:spacing w:after="0" w:line="67"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7,749,714 of our common shares reserved for future issuance under our 2018 Stock Option and Incentive Plan;</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413,226 common shares reserved for issuance under our 2016 Employee Stock Purchase Plan, or ESPP; and</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409,361 treasury shares.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stock options after June 30,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240" w:top="455" w:right="71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high degree of risk. Investors should carefully consider the risks described in our Annual Report on Form 10-K, our Quarterly Reports on Form 10-Q, as well as other information in this prospectus supplement and the documents incorporated by reference herein before deciding whether to invest in our securities.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shares could decline and you could lose part or all of your investment.</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Common Shares and this Offering</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Common Shares In The Public Market Could Cause Our Share Price To Fall.</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our common shares in the public market or the perception that these sales might occur could depress the market price of our common shares, could make it more difficult for you to sell your common shares at a time and price that you deem appropriate and could impair our ability to raise capital through the sale of additional equity securities. We are unable to predict the effect that sales may have on the prevailing market price of our common shares.</w:t>
      </w:r>
    </w:p>
    <w:p>
      <w:pPr>
        <w:spacing w:after="0" w:line="180"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As of June 30, 2018, 47,110,931 common shares were outstanding, including 39,096 issued but unvested restricted shares that are not considered outstanding for accounting purposes until vested, but excludes 409,361 treasury shares, options to purchase 6,617,181 common shares, of which 1,757,151 were exercisable as of that date, and 130,834 of our common shares reserved for issuance upon the vesting, release and settlement of restricted stock units outstanding as of that date. The sale or the availability for sale of a large number of our common shares in the public market could cause the price of our common shares to decline.</w:t>
      </w:r>
    </w:p>
    <w:p>
      <w:pPr>
        <w:spacing w:after="0" w:line="184"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Certain holders of common shares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shareholders could have a material adverse effect on the trading price of our common shares.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00"/>
          </w:cols>
          <w:pgMar w:left="24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95" w:lineRule="exact"/>
        <w:rPr>
          <w:sz w:val="20"/>
          <w:szCs w:val="20"/>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preclinical studies and future clinical trials;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 pipeline of product candidates;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 into, and successfully complete clinical trials;</w:t>
      </w:r>
    </w:p>
    <w:p>
      <w:pPr>
        <w:spacing w:after="0" w:line="130" w:lineRule="exact"/>
        <w:rPr>
          <w:rFonts w:ascii="Times New Roman" w:cs="Times New Roman" w:eastAsia="Times New Roman" w:hAnsi="Times New Roman"/>
          <w:sz w:val="18"/>
          <w:szCs w:val="18"/>
          <w:color w:val="auto"/>
        </w:rPr>
      </w:pPr>
    </w:p>
    <w:p>
      <w:pPr>
        <w:ind w:left="1060" w:right="380" w:hanging="316"/>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future product candidates, and any related restrictions, limitations and/or warnings in the label of an approved product candidate;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future product candidates;</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joint venture with Bayer HealthCare LLC as well as our current and future collaborations, including our collaboration with Vertex Pharmaceuticals, Incorporated;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future product candidates;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future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current and future product candidates;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current and future product candidates;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gene-editing technologies including CRISPR/Cas9;</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become available;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scientific or management personnel;</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capital requirements and need for additional financing.</w:t>
      </w:r>
    </w:p>
    <w:p>
      <w:pPr>
        <w:spacing w:after="0" w:line="225"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 or enter into.</w:t>
      </w:r>
    </w:p>
    <w:p>
      <w:pPr>
        <w:spacing w:after="0" w:line="1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240" w:top="455" w:right="5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supplement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We are responsible for all of the disclosure contained in this prospectus, and we believe these industry publications and third-party research, surveys and studies are reliable.</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60"/>
          </w:cols>
          <w:pgMar w:left="240" w:top="455"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common shares offered hereby are being issued as consideration to ViaCyte, Inc., pursuant to the Research and Collaboration Agreement, dated September 17, 2018. As such, we will not receive any net proceeds from the offer of the shares being sold pursuant to this prospectus supplement.</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60"/>
          </w:cols>
          <w:pgMar w:left="240" w:top="455" w:right="4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PRICE RANGE OF COMMON SHARES</w:t>
      </w:r>
    </w:p>
    <w:p>
      <w:pPr>
        <w:spacing w:after="0" w:line="229"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Our common shares began trading on the Nasdaq Global Market under the symbol “CRSP” on October 19, 2016. Prior to that time, there was no public market for our common shares. The following table sets forth the high and low sale prices per common share, as reported on the Nasdaq Global Market, for the periods indicated:</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Sales prices</w:t>
            </w: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(from October 19, 2016)</w:t>
            </w:r>
          </w:p>
        </w:tc>
        <w:tc>
          <w:tcPr>
            <w:tcW w:w="234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rPr>
              <w:t>$23.97</w:t>
            </w:r>
          </w:p>
        </w:tc>
        <w:tc>
          <w:tcPr>
            <w:tcW w:w="10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$13.75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1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34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rPr>
              <w:t>$25.00</w:t>
            </w:r>
          </w:p>
        </w:tc>
        <w:tc>
          <w:tcPr>
            <w:tcW w:w="10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$11.63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340" w:type="dxa"/>
            <w:vAlign w:val="bottom"/>
            <w:gridSpan w:val="2"/>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$22.22</w:t>
            </w:r>
          </w:p>
        </w:tc>
        <w:tc>
          <w:tcPr>
            <w:tcW w:w="10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$13.50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34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rPr>
              <w:t>$21.32</w:t>
            </w:r>
          </w:p>
        </w:tc>
        <w:tc>
          <w:tcPr>
            <w:tcW w:w="10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$15.55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340" w:type="dxa"/>
            <w:vAlign w:val="bottom"/>
            <w:gridSpan w:val="2"/>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$25.00</w:t>
            </w:r>
          </w:p>
        </w:tc>
        <w:tc>
          <w:tcPr>
            <w:tcW w:w="10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$16.51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2018</w:t>
            </w:r>
          </w:p>
        </w:tc>
        <w:tc>
          <w:tcPr>
            <w:tcW w:w="1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340" w:type="dxa"/>
            <w:vAlign w:val="bottom"/>
            <w:gridSpan w:val="2"/>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$61.24</w:t>
            </w:r>
          </w:p>
        </w:tc>
        <w:tc>
          <w:tcPr>
            <w:tcW w:w="10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$23.28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34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rPr>
              <w:t>$73.90</w:t>
            </w:r>
          </w:p>
        </w:tc>
        <w:tc>
          <w:tcPr>
            <w:tcW w:w="10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$40.25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(though September 24, 2018)</w:t>
            </w:r>
          </w:p>
        </w:tc>
        <w:tc>
          <w:tcPr>
            <w:tcW w:w="2340" w:type="dxa"/>
            <w:vAlign w:val="bottom"/>
            <w:gridSpan w:val="2"/>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$66.26</w:t>
            </w:r>
          </w:p>
        </w:tc>
        <w:tc>
          <w:tcPr>
            <w:tcW w:w="10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$45.58</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As of September 19, 2018, there were 12 record holders of our common shares. The actual number of shareholders is greater than this number of record holders and includes shareholders who are beneficial owners but whose shares are held in street name by brokers and other nominees.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240" w:top="455" w:right="5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76"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Under Swiss law, any dividend must be proposed by our board of directors and approved by our shareholders. In addition, our auditors must confirm that the dividend proposal of our board of directors conforms to Swiss statutory law and our articles of association. A Swiss corporation may pay dividends only if it has sufficient distributable profits brought forward from the previous business years (“</w:t>
      </w:r>
      <w:r>
        <w:rPr>
          <w:rFonts w:ascii="Times New Roman" w:cs="Times New Roman" w:eastAsia="Times New Roman" w:hAnsi="Times New Roman"/>
          <w:sz w:val="18"/>
          <w:szCs w:val="18"/>
          <w:i w:val="1"/>
          <w:iCs w:val="1"/>
          <w:color w:val="auto"/>
        </w:rPr>
        <w:t>Gewinnvortrag</w:t>
      </w:r>
      <w:r>
        <w:rPr>
          <w:rFonts w:ascii="Times New Roman" w:cs="Times New Roman" w:eastAsia="Times New Roman" w:hAnsi="Times New Roman"/>
          <w:sz w:val="18"/>
          <w:szCs w:val="18"/>
          <w:color w:val="auto"/>
        </w:rPr>
        <w:t>”) or if it has distributable reserves (“</w:t>
      </w:r>
      <w:r>
        <w:rPr>
          <w:rFonts w:ascii="Times New Roman" w:cs="Times New Roman" w:eastAsia="Times New Roman" w:hAnsi="Times New Roman"/>
          <w:sz w:val="18"/>
          <w:szCs w:val="18"/>
          <w:i w:val="1"/>
          <w:iCs w:val="1"/>
          <w:color w:val="auto"/>
        </w:rPr>
        <w:t>freie Reserven</w:t>
      </w:r>
      <w:r>
        <w:rPr>
          <w:rFonts w:ascii="Times New Roman" w:cs="Times New Roman" w:eastAsia="Times New Roman" w:hAnsi="Times New Roman"/>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8"/>
          <w:szCs w:val="18"/>
          <w:i w:val="1"/>
          <w:iCs w:val="1"/>
          <w:color w:val="auto"/>
        </w:rPr>
        <w:t>freie Reserven</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“Kapitaleinlagereserven”</w:t>
      </w:r>
      <w:r>
        <w:rPr>
          <w:rFonts w:ascii="Times New Roman" w:cs="Times New Roman" w:eastAsia="Times New Roman" w:hAnsi="Times New Roman"/>
          <w:sz w:val="18"/>
          <w:szCs w:val="18"/>
          <w:color w:val="auto"/>
        </w:rPr>
        <w:t>). Distributions out of issued share capital, which is the aggregate nominal value of a corporation’s issued shares, may be made only by way of a share capital reduction.</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240" w:top="455" w:right="5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September 17, 2018, we entered into a Research Collaboration Agreement, or the Collaboration Agreement, with ViaCyte, Inc., or ViaCyte.</w:t>
      </w:r>
    </w:p>
    <w:p>
      <w:pPr>
        <w:spacing w:after="0" w:line="225" w:lineRule="exact"/>
        <w:rPr>
          <w:sz w:val="20"/>
          <w:szCs w:val="20"/>
          <w:color w:val="auto"/>
        </w:rPr>
      </w:pPr>
    </w:p>
    <w:p>
      <w:pPr>
        <w:ind w:left="200" w:right="160" w:firstLine="441"/>
        <w:spacing w:after="0" w:line="313" w:lineRule="auto"/>
        <w:rPr>
          <w:sz w:val="20"/>
          <w:szCs w:val="20"/>
          <w:color w:val="auto"/>
        </w:rPr>
      </w:pPr>
      <w:r>
        <w:rPr>
          <w:rFonts w:ascii="Times New Roman" w:cs="Times New Roman" w:eastAsia="Times New Roman" w:hAnsi="Times New Roman"/>
          <w:sz w:val="17"/>
          <w:szCs w:val="17"/>
          <w:color w:val="auto"/>
        </w:rPr>
        <w:t>In connection with entering into the Collaboration Agreement, we agreed to issue, in two tranches, to ViaCyte an aggregate of (i) approximately $15.0 million of our common shares (the “Shares”), subject to the adjustments set forth below, and (ii) aggregate cash payments of $10,000.</w:t>
      </w:r>
    </w:p>
    <w:p>
      <w:pPr>
        <w:spacing w:after="0" w:line="138"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the first tranche of Shares (the “First Tranche Shares”). The second tranche of Shares (the “Second Tranche Shares”) will be issued and paid to ViaCyte on the first business day after we file our Quarterly Report on Form 10-Q for the three months ending September 30, 2018. The number of Second Tranche Shares to be issued will be equal to (i) $15.0 million less (ii) the aggregate net proceeds received by ViaCyte in connection with selling all of the First Tranche Shares. All of the Shares will be valued using the closing price our common shares on the date of issuance as reported on the Nasdaq Global Market. In lieu of issuing the Second Tranche Shares, we may, in our sole discretion, opt to pay ViaCyte an amount of cash equal to the value of the Second Tranche Shares by giving notice to ViaCyte by 7 pm (ET) on the day before the applicable date the we required to issuance such shares.</w:t>
      </w:r>
    </w:p>
    <w:p>
      <w:pPr>
        <w:spacing w:after="0" w:line="189"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ViaCyte may not sell more than 50,000 Shares in any single trading day. The Shares are being offered directly to ViaCyte without a placement agent, underwriter, broker or dealer.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common shares are traded on The Nasdaq Global Market under the symbol “CRSP.”</w:t>
      </w:r>
    </w:p>
    <w:p>
      <w:pPr>
        <w:spacing w:after="0" w:line="225"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Pursuant to the Swiss Code of Obligations, subject to limited exceptions, shareholders have statutory pre-emptive rights to subscribe for new shares on a pro-rata basis (measured by their existing shareholdings) in connection with new issuances of shares. With respect to conditional capital in connection with the issuance of conversion rights, convertible bonds or similar debt instruments, shareholders have, subject to limited exceptions, statutory advance subscription rights for the subscription of conversion rights, convertible bonds or similar debt instruments. The common aim of such pre-emptive rights and advance subscription rights is to provide existing shareholders with statutory legal means against dilution in the case of a capital increase.</w:t>
      </w:r>
    </w:p>
    <w:p>
      <w:pPr>
        <w:spacing w:after="0" w:line="188"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our board of directors resolved that it was in the best interests of our shareholders to exclude their pre-emptive rights in this offering in order to allow the participation of ViaCyte as a strategic partner. Pursuant to our articles of association, collaborations with strategic partners allow our board of directors to exclude our shareholders’ pre-emptive rights. Because sales made pursuant to this prospectus supplement are being made at the market price, our board of directors has determined that we will not need to grant our shareholders subscription rights, to allow them to purchase their pro rata portion of shares as if they had participated in this offering.</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80"/>
          </w:cols>
          <w:pgMar w:left="24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left="200" w:right="3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does not purport to address all tax consequences of this offering, the acquisition, the ownership and sale or other disposition of our common shares (such shares for the purposes of this “Taxation” section, “Shares”) and does not take into account the specific circumstances of any particular investor. This summary is based on the tax laws, regulations and regulatory practices of Switzerland and the United States as in effect on the date hereof, which are subject to change (or subject to changes in interpretation), possibly with retroactive effect.</w:t>
      </w:r>
    </w:p>
    <w:p>
      <w:pPr>
        <w:spacing w:after="0" w:line="180" w:lineRule="exact"/>
        <w:rPr>
          <w:sz w:val="20"/>
          <w:szCs w:val="20"/>
          <w:color w:val="auto"/>
        </w:rPr>
      </w:pPr>
    </w:p>
    <w:p>
      <w:pPr>
        <w:ind w:left="200" w:right="2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Shares and receiving dividends and similar cash or in-kind distributions on Shares (including dividends on liquidation proceeds and stock dividends) or distributions on Shares based upon a capital reduction (Kapitalherabsetzung durch Nennwertreduktion) or reserves paid out of capital contributions (Kapitaleinlagen) and the consequences thereof under the tax laws, regulations and regulatory practices of Switzerland and/or the United States.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Cantonal And Communal Individual Income Tax And Corporate Income Tax</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11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Except as discussed in the sections titled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shareholders who are not resident in Switzerland for tax purposes, and who, during the relevant taxation year, have not engaged in a trade or business carried on through a permanent establishment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Times New Roman" w:cs="Times New Roman" w:eastAsia="Times New Roman" w:hAnsi="Times New Roman"/>
          <w:sz w:val="18"/>
          <w:szCs w:val="18"/>
          <w:i w:val="1"/>
          <w:iCs w:val="1"/>
          <w:color w:val="auto"/>
        </w:rPr>
        <w:t>Kapitalherabsetzung durch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Nennwertreduktion</w:t>
      </w:r>
      <w:r>
        <w:rPr>
          <w:rFonts w:ascii="Times New Roman" w:cs="Times New Roman" w:eastAsia="Times New Roman" w:hAnsi="Times New Roman"/>
          <w:sz w:val="18"/>
          <w:szCs w:val="18"/>
          <w:color w:val="auto"/>
        </w:rPr>
        <w:t>) and reserves paid out of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on Shares, or capital gains realized on the sale or other disposition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Resident Private Shareholders</w:t>
      </w:r>
    </w:p>
    <w:p>
      <w:pPr>
        <w:spacing w:after="0" w:line="119"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Swiss resident individuals who hold their Shares as private assets are required to include Dividends, but not distributions based upon a capital reduction (</w:t>
      </w:r>
      <w:r>
        <w:rPr>
          <w:rFonts w:ascii="Times New Roman" w:cs="Times New Roman" w:eastAsia="Times New Roman" w:hAnsi="Times New Roman"/>
          <w:sz w:val="18"/>
          <w:szCs w:val="18"/>
          <w:i w:val="1"/>
          <w:iCs w:val="1"/>
          <w:color w:val="auto"/>
        </w:rPr>
        <w:t>Kapitalherabsetzung durch Nennwertreduktion</w:t>
      </w:r>
      <w:r>
        <w:rPr>
          <w:rFonts w:ascii="Times New Roman" w:cs="Times New Roman" w:eastAsia="Times New Roman" w:hAnsi="Times New Roman"/>
          <w:sz w:val="18"/>
          <w:szCs w:val="18"/>
          <w:color w:val="auto"/>
        </w:rPr>
        <w:t>) and reserves paid out of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Times New Roman" w:cs="Times New Roman" w:eastAsia="Times New Roman" w:hAnsi="Times New Roman"/>
          <w:sz w:val="18"/>
          <w:szCs w:val="18"/>
          <w:i w:val="1"/>
          <w:iCs w:val="1"/>
          <w:color w:val="auto"/>
        </w:rPr>
        <w:t>Kapitalherabsetzung durch Nennwertreduktion</w:t>
      </w:r>
      <w:r>
        <w:rPr>
          <w:rFonts w:ascii="Times New Roman" w:cs="Times New Roman" w:eastAsia="Times New Roman" w:hAnsi="Times New Roman"/>
          <w:sz w:val="18"/>
          <w:szCs w:val="18"/>
          <w:color w:val="auto"/>
        </w:rPr>
        <w:t>) and reserves paid out of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Capital gains resulting from the sale or other disposition of Shares are generally not subject to Swiss federal, cantonal and communal income tax, and conversely, capital losses are not tax-deductible for Resident Private Shareholders (the shareholders referred to in this paragraph for the purposes of this section, “Resident Private Shareholders”). See “—Domestic Commercial Shareholders” below for a summary of the taxation treatment applicable to Swiss resident individuals, who, for income tax purposes, are classified as “professional securities dealers”.</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Domestic Commercial Shareholders</w:t>
      </w:r>
    </w:p>
    <w:p>
      <w:pPr>
        <w:spacing w:after="0" w:line="119"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80"/>
          </w:cols>
          <w:pgMar w:left="240" w:top="455"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4" w:lineRule="auto"/>
        <w:rPr>
          <w:sz w:val="20"/>
          <w:szCs w:val="20"/>
          <w:color w:val="auto"/>
        </w:rPr>
      </w:pPr>
      <w:r>
        <w:rPr>
          <w:rFonts w:ascii="Times New Roman" w:cs="Times New Roman" w:eastAsia="Times New Roman" w:hAnsi="Times New Roman"/>
          <w:sz w:val="18"/>
          <w:szCs w:val="18"/>
          <w:color w:val="auto"/>
        </w:rPr>
        <w:t>Switzerland, through a permanent establishment situated, for tax purposes, in Switzerland, are required to recognize Dividends, distributions based upon a capital reduction (</w:t>
      </w:r>
      <w:r>
        <w:rPr>
          <w:rFonts w:ascii="Times New Roman" w:cs="Times New Roman" w:eastAsia="Times New Roman" w:hAnsi="Times New Roman"/>
          <w:sz w:val="18"/>
          <w:szCs w:val="18"/>
          <w:i w:val="1"/>
          <w:iCs w:val="1"/>
          <w:color w:val="auto"/>
        </w:rPr>
        <w:t>Kapitalherabsetzung durch Nennwertreduktion</w:t>
      </w:r>
      <w:r>
        <w:rPr>
          <w:rFonts w:ascii="Times New Roman" w:cs="Times New Roman" w:eastAsia="Times New Roman" w:hAnsi="Times New Roman"/>
          <w:sz w:val="18"/>
          <w:szCs w:val="18"/>
          <w:color w:val="auto"/>
        </w:rPr>
        <w:t>) and reserves paid out of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in respect of Dividends and distributions based upon a capital reduction (</w:t>
      </w:r>
      <w:r>
        <w:rPr>
          <w:rFonts w:ascii="Times New Roman" w:cs="Times New Roman" w:eastAsia="Times New Roman" w:hAnsi="Times New Roman"/>
          <w:sz w:val="18"/>
          <w:szCs w:val="18"/>
          <w:i w:val="1"/>
          <w:iCs w:val="1"/>
          <w:color w:val="auto"/>
        </w:rPr>
        <w:t>Kapitalherabsetzung durch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Nennwertreduktion</w:t>
      </w:r>
      <w:r>
        <w:rPr>
          <w:rFonts w:ascii="Times New Roman" w:cs="Times New Roman" w:eastAsia="Times New Roman" w:hAnsi="Times New Roman"/>
          <w:sz w:val="18"/>
          <w:szCs w:val="18"/>
          <w:color w:val="auto"/>
        </w:rPr>
        <w:t>) and reserves paid out of capital contributions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if the Shares held by them as part of a Swiss business have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market value of at least CHF 1 million.</w:t>
      </w: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Swiss Cantonal and Communal Private Wealth Tax and Capital Taxes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Non-Resident Shareholders are not subject to Swiss cantonal and communal private wealth tax or capital tax.</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119"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Withholding Tax</w:t>
      </w:r>
    </w:p>
    <w:p>
      <w:pPr>
        <w:spacing w:after="0" w:line="11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Dividends that we pay on the Shares are subject to Swiss federal withholding tax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xml:space="preserve"> at a rate of 35% on the gross amount of the Dividend. We are required to withhold the Swiss federal withholding tax from the Dividend and remit it to the Swiss Federal Tax Administration. Distributions based upon a capital reduction </w:t>
      </w:r>
      <w:r>
        <w:rPr>
          <w:rFonts w:ascii="Times New Roman" w:cs="Times New Roman" w:eastAsia="Times New Roman" w:hAnsi="Times New Roman"/>
          <w:sz w:val="18"/>
          <w:szCs w:val="18"/>
          <w:i w:val="1"/>
          <w:iCs w:val="1"/>
          <w:color w:val="auto"/>
        </w:rPr>
        <w:t>(Kapitalherabsetzung durch Nennwertreduktion)</w:t>
      </w:r>
      <w:r>
        <w:rPr>
          <w:rFonts w:ascii="Times New Roman" w:cs="Times New Roman" w:eastAsia="Times New Roman" w:hAnsi="Times New Roman"/>
          <w:sz w:val="18"/>
          <w:szCs w:val="18"/>
          <w:color w:val="auto"/>
        </w:rPr>
        <w:t xml:space="preserve"> and reserves paid out of capital contributions </w:t>
      </w:r>
      <w:r>
        <w:rPr>
          <w:rFonts w:ascii="Times New Roman" w:cs="Times New Roman" w:eastAsia="Times New Roman" w:hAnsi="Times New Roman"/>
          <w:sz w:val="18"/>
          <w:szCs w:val="18"/>
          <w:i w:val="1"/>
          <w:iCs w:val="1"/>
          <w:color w:val="auto"/>
        </w:rPr>
        <w:t xml:space="preserve">(Kapitaleinlagen) </w:t>
      </w:r>
      <w:r>
        <w:rPr>
          <w:rFonts w:ascii="Times New Roman" w:cs="Times New Roman" w:eastAsia="Times New Roman" w:hAnsi="Times New Roman"/>
          <w:sz w:val="18"/>
          <w:szCs w:val="18"/>
          <w:color w:val="auto"/>
        </w:rPr>
        <w:t>are not subject to Swiss federal withholding tax.</w:t>
      </w:r>
    </w:p>
    <w:p>
      <w:pPr>
        <w:spacing w:after="0" w:line="182"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Swiss federal withholding tax on a Dividend will be refundable in full to a Resident Private Shareholder and to a Domestic Commercial Shareholder to the extent the Shares are allocable to Switzerland, who, in each case,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76" w:lineRule="exact"/>
        <w:rPr>
          <w:sz w:val="20"/>
          <w:szCs w:val="20"/>
          <w:color w:val="auto"/>
        </w:rPr>
      </w:pPr>
    </w:p>
    <w:p>
      <w:pPr>
        <w:jc w:val="both"/>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A Non-Resident Shareholder may be entitled to a full or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w:t>
      </w:r>
    </w:p>
    <w:p>
      <w:pPr>
        <w:spacing w:after="0" w:line="180"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For example, a shareholder who is a resident of the U.S. for the purposes of the Convention between the U.S. and Switzerland for the Avoidance of Double Taxation with Respect to Taxes or Income, is eligible for a refund of the amount of the withholding tax in excess of the 15% treaty rate, or in excess of the 5% reduced</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00"/>
          </w:cols>
          <w:pgMar w:left="24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treaty rate for qualifying corporate shareholders with at least 10% participation in our voting stock, or for a full refund in the case of qualified pension funds, provided, in each case, such shareholder: (i) qualifies for benefits under the treaty (ii) qualifies as beneficial owner of the Dividends; and</w:t>
      </w:r>
    </w:p>
    <w:p>
      <w:pPr>
        <w:ind w:left="200" w:right="280" w:firstLine="4"/>
        <w:spacing w:after="0" w:line="255"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conduct business through a permanent establishment or fixed base in Switzerland to which the Shares are attributable.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119" w:lineRule="exact"/>
        <w:rPr>
          <w:sz w:val="20"/>
          <w:szCs w:val="20"/>
          <w:color w:val="auto"/>
        </w:rPr>
      </w:pPr>
    </w:p>
    <w:p>
      <w:pPr>
        <w:ind w:left="200" w:right="760" w:firstLine="441"/>
        <w:spacing w:after="0" w:line="284" w:lineRule="auto"/>
        <w:rPr>
          <w:sz w:val="20"/>
          <w:szCs w:val="20"/>
          <w:color w:val="auto"/>
        </w:rPr>
      </w:pPr>
      <w:r>
        <w:rPr>
          <w:rFonts w:ascii="Times New Roman" w:cs="Times New Roman" w:eastAsia="Times New Roman" w:hAnsi="Times New Roman"/>
          <w:sz w:val="18"/>
          <w:szCs w:val="18"/>
          <w:color w:val="auto"/>
        </w:rPr>
        <w:t xml:space="preserve">We will be subject to and pay to the Swiss Federal Tax Administration a 1% Swiss federal issuance stamp tax </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xml:space="preserve"> on the consideration received for the issuance of the Shares less certain costs incurred in connection with the issuance.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The issuance of the Shares to the initial shareholders at the offering price is not subject to Swiss federal securities turnover tax </w:t>
      </w:r>
      <w:r>
        <w:rPr>
          <w:rFonts w:ascii="Times New Roman" w:cs="Times New Roman" w:eastAsia="Times New Roman" w:hAnsi="Times New Roman"/>
          <w:sz w:val="18"/>
          <w:szCs w:val="18"/>
          <w:i w:val="1"/>
          <w:iCs w:val="1"/>
          <w:color w:val="auto"/>
        </w:rPr>
        <w:t>(Umsatzabgabe).</w:t>
      </w:r>
    </w:p>
    <w:p>
      <w:pPr>
        <w:spacing w:after="0" w:line="227"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0.15% of the consideration paid for such Shares.</w:t>
      </w:r>
    </w:p>
    <w:p>
      <w:pPr>
        <w:spacing w:after="0" w:line="176"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THE DISCUSSION ABOVE IS A SUMMARY OF MATERIAL SWISS TAX CONSIDERATIONS. IT DOES NOT COVER ALL TAX MATTERS THAT MAY BE OF IMPORTANCE TO A PARTICULAR PROSPECTIVE INVESTOR. EACH PROSPECTIVE INVESTOR IS URGED TO CONSULT ITS OWN TAX ADVISOR ABOUT THE TAX CONSEQUENCES TO IT OF AN INVESTMENT IN THE SHARES IN LIGHT OF THE INVESTOR’S OWN CIRCUMSTANCES.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U.S. Holders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relating to the acquisition, ownership and disposition of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shares by a U.S. holder (as defined below). This summary addresses only the U.S. federal income tax considerations for U.S. holders that are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initial purchasers of the common shares pursuant to this offering and that will hold such common shares as capital assets within the meaning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Section 1221 of the Code (generally, property held for investment) for U.S. federal income tax purposes and does not apply to any shares acquired in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concurrent private placement. This summary does not address all U.S. federal income tax matters that may be relevant to a particular U.S. holder. This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summary does not address tax considerations applicable to a holder of common shares that may be subject to special tax rules including, without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limitation, the following:</w:t>
      </w:r>
    </w:p>
    <w:p>
      <w:pPr>
        <w:spacing w:after="0" w:line="112" w:lineRule="exact"/>
        <w:rPr>
          <w:sz w:val="20"/>
          <w:szCs w:val="20"/>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(as defined below), respectively;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30"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common shares as part of a “hedging,” “integrated” or “conversion” transaction or as a position in a “straddle” for U.S. federal income tax purposes;</w:t>
      </w:r>
    </w:p>
    <w:p>
      <w:pPr>
        <w:spacing w:after="0" w:line="6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or persons that will hold the common shares through such an entity;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 term residents of the United States;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00"/>
          </w:cols>
          <w:pgMar w:left="24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 or more of the voting power or value of the common shares;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for U.S. federal income tax purposes other than the U.S. dollar.</w:t>
      </w:r>
    </w:p>
    <w:p>
      <w:pPr>
        <w:spacing w:after="0" w:line="225"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Further, this summary does not address the U.S. federal estate, gift, or alternative minimum tax considerations, or any U.S. state, local, or non-U.S. tax considerations of the acquisition, ownership and disposition of the common shares.</w:t>
      </w:r>
    </w:p>
    <w:p>
      <w:pPr>
        <w:spacing w:after="0" w:line="162"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This description is based on the U.S. Internal Revenue Code of 1986, as amended, or the Code; existing, proposed and temporary U.S. Treasury Regulations promulgated thereunder, administrative and judicial interpretations thereof; and the income tax treaty between the United States and the Swiss Confederation, in each case, as in effect and available on the date hereof. All the foregoing is subject to change, which change could apply retroactively, and to differing interpretations, all of which could affect the tax considerations described below. The U.S. government recently enacted the Act to provide for reconciliation pursuant to titles II and V of the concurrent resolution on the budget for fiscal year 2018, or the Tax Reform Act. The overall impact of the Tax Reform Act is uncertain, and this prospectus does not address, other than as expressly addressed herein, the manner in which it may affect purchasers of our common shares. Holders should consult with their advisors regarding the impact of the Tax Reform Act on the tax consequences of acquiring, owning, and disposing of the common shares in their particular circumstances. We have not received nor do we expect to seek a ruling from the U.S. Internal Revenue Service, or the IRS, regarding any matter discussed herein. There can be no assurances that the IRS will not take a contrary or different position concerning the tax consequences of the acquisition, ownership and disposition of the common shares or that such a position would not be sustained. Holders should consult their own tax advisers concerning the U.S. federal, state, local and non-U.S. tax consequences of acquiring, owning, and disposing of the common shares in their particular circumstances.</w:t>
      </w:r>
    </w:p>
    <w:p>
      <w:pPr>
        <w:spacing w:after="0" w:line="191"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For the purposes of this summary, a “U.S. holder” is a beneficial owner of common shares that is (or is treated as), for U.S. federal income tax purposes:</w:t>
      </w:r>
    </w:p>
    <w:p>
      <w:pPr>
        <w:spacing w:after="0" w:line="67" w:lineRule="exact"/>
        <w:rPr>
          <w:sz w:val="20"/>
          <w:szCs w:val="20"/>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60" w:right="140" w:hanging="316"/>
        <w:spacing w:after="0" w:line="26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U.S. persons have the authority to control all of the substantial decisions of such trust or has a valid election in effect under applicable U.S. Treasury Regulations to be treated as a United States person.</w:t>
      </w:r>
    </w:p>
    <w:p>
      <w:pPr>
        <w:spacing w:after="0" w:line="176" w:lineRule="exact"/>
        <w:rPr>
          <w:sz w:val="20"/>
          <w:szCs w:val="20"/>
          <w:color w:val="auto"/>
        </w:rPr>
      </w:pPr>
    </w:p>
    <w:p>
      <w:pPr>
        <w:jc w:val="both"/>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common shares, the U.S. federal income tax consequences relating to an investment in the common shares will depend in part upon the status of the partner and the activities of the partnership. Such a partner or partnership should consult its tax advisor regarding the U.S. federal income tax considerations of acquiring, owning and disposing of the common shares in its particular circumstances.</w:t>
      </w:r>
    </w:p>
    <w:p>
      <w:pPr>
        <w:spacing w:after="0" w:line="18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As indicated below, this discussion is subject to U.S. federal income tax rules applicable to a “passive foreign investment company,” or a PFIC. As discussed below under “Passive Foreign Investment Company Considerations,” it is possible we were a PFIC with respect to the 2017 taxable year and it is possible we may be a PFIC for our current taxable year as well. In addition, it is possible that we will be a CFC for our current table year or a taxable year following the year of this offering and/or, because of recent changes pursuant to the Tax Reform Act, that our non-United States subsidiaries will be CFCs for the current taxable year or a future taxable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year even if we are not a CFC for such taxable year(s), and if we are, or any of our non-United States subsidiaries are, a CFC, this discussion assumes that a “U.S. holder” does not include a holder that is a United States person (within the meaning of the Code) who owns or is considered to own (i) 10% or more of the total combined voting power of all classes of our stock entitled to vote or (ii) 10% or more of the total value of all classes of our stock. U.S. holders are urged to consult their tax advisors about the application of the PFIC and CFC rules to any of our subsidiaries.</w:t>
      </w:r>
    </w:p>
    <w:p>
      <w:pPr>
        <w:spacing w:after="0" w:line="180"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Persons considering an investment in the common shares should consult their own tax advisors as to the particular tax consequences applicable to them relating to the acquisition, ownership and disposition of the common shares, including the applicability of U.S. federal, state and local tax laws and non-U.S. tax laws.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200" w:firstLine="441"/>
        <w:spacing w:after="0" w:line="251" w:lineRule="auto"/>
        <w:rPr>
          <w:sz w:val="20"/>
          <w:szCs w:val="20"/>
          <w:color w:val="auto"/>
        </w:rPr>
      </w:pPr>
      <w:r>
        <w:rPr>
          <w:rFonts w:ascii="Times New Roman" w:cs="Times New Roman" w:eastAsia="Times New Roman" w:hAnsi="Times New Roman"/>
          <w:sz w:val="18"/>
          <w:szCs w:val="18"/>
          <w:color w:val="auto"/>
        </w:rPr>
        <w:t>Although we do not currently plan to pay dividends, and subject to the discussion under “Passive Foreign Investment Company Considerations” below, the gross amount of any distribution (before reduction for any amounts withheld in respect of Swiss withholding tax, if any) actually or constructively received by a U.S. holder with respect to common shares will be taxable to the U.S. holder as a dividend to the extent of the U.S. holder’s pro rata share of our current and accumulated earnings and profits as determined under U.S. federal income tax principles. Distributions in excess of earnings and profits will be non-taxable to the U.S. holder to the extent of, and will be applied against and reduce, the U.S. holder’s adjusted tax basis in the common shares. Distributions in excess of earnings and profits and such adjusted tax basis will generally be taxable to the U.S. holder as either long-term or short-term capital gain depending upon whether the U.S. holder has held the common shares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with respect to dividends on common shares applicable to long-term capital gains (i.e., gains from the sale of capital assets held for more than one year) applicable to qualified dividend income (as discussed below) if we are a “qualified foreign corporation” and certain other requirements (discussed below)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of stock which are readily tradable on an established securities market in the United States. We expect that the common shares will be listed on Nasdaq, which is an established securities market in the United States, and we expect the common shares to be readily tradable on Nasdaq. However, there can be no assurance that the common shares will be considered readily tradable on an established securities market in the United States in later years. As we are incorporated under the laws of the Swiss Confederation, we believe that we qualify as a resident of Switzerland for purposes of, and are eligible for the benefits of, The Convention between the United States of America and the Swiss Confederation for the Avoidance of Double Taxation with Respect to Taxes on Income, signed on October 2, 1996, or the U.S.-Swiss Tax Treaty, although there can be no assurance in this regard. Further, the IRS has determined that the U.S.-Swiss Tax Treaty is satisfactory for purposes of the qualified dividend rules and that it includes an exchange-of-information program. Therefore, subject to the discussion under “Passive Foreign Investment Company Considerations” below, such dividends will generally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met. The dividends will not be eligible for the dividends-received deduction generally allowed to corporate U.S. holders.</w:t>
      </w:r>
    </w:p>
    <w:p>
      <w:pPr>
        <w:spacing w:after="0" w:line="206"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A U.S. holder generally may claim the amount of any Swiss withholding tax as either a deduction from gross income or a credit against U.S. federal income tax liability. However, the foreign tax credit is subject to</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numerous complex limitations that must be determined and applied on an individual basis. Generally, the credit cannot exceed the proportionate share of a U.S. holder’s U.S. federal income tax liability that such U.S. holder’s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common shares that is treated as a “dividend” may be lower for U.S. federal income tax purposes than it is for Swiss income tax purposes, potentially resulting in a reduced foreign tax credit for the U.S. holder. Each U.S. holder should consult its own tax advisors regarding the foreign tax credit rules.</w:t>
      </w:r>
    </w:p>
    <w:p>
      <w:pPr>
        <w:spacing w:after="0" w:line="189"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While we do not currently plan to pay any dividends, the currency of any dividends that we may pay is subject to future determination. If we pay any such dividends in a currency other than U.S. dollars (a “foreign currency”), the amount of a distribution paid to a U.S. holder in a foreign currency will be the U.S. dollar value of the foreign currency calculated by reference to the spot exchange rate on the day the U.S. holder actually or constructively receives the distribution,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actually or constructively received, a U.S. holder should not be required to recognize foreign currency gain or loss in respect of the dividend.</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the Common Shares</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gain or loss for U.S. federal income tax purposes upon the sale, exchange or other taxable disposition of common shares in an amount equal to the difference between the U.S. dollar value of the amount realized from such sale or exchange and the U.S. holder’s tax basis for those common shares. Subject to the discussion under “Passive Foreign Investment Company Considerations” below, this gain or loss will generally be a capital gain or loss. The adjusted tax basis in the common shares generally will be equal to the U.S. holder’s U.S. dollar purchase price of such common shares. Capital gain from the sale, exchange or other taxable disposition of common shares of a non-corporate U.S. holder is generally eligible for a preferential rate of taxation applicable to capital gains, if the non-corporate U.S. holder’s holding period determined at the time of such sale, exchange or other taxable disposition for such common shares exceeds one year (i.e., such gain is long-term taxable gain).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Medicare Tax</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subject to a 3.8% tax on all or a portion of their “net investment income,” which may include all or a portion of their dividend income and net gains from the disposition of common shares. Each U.S. holder that is an individual, estate or trust is urged to consult its tax advisors regarding the applicability of the Medicare tax to its income and gains in respect of its investment in the common shares.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Considerations</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If we are classified as a passive foreign investment company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6"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A corporation organized outside the United States generally will be classified as a PFIC for U.S. federal income tax purposes in any taxable year in which, after applying certain look-through rules with respect to the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income and assets of its subsidiaries, either: (i) at least 75% of its gross income is “passive income,” referred to herein as the Income Test, or (ii) at least 50% of the average quarterly value of its total gross assets (which, assuming we were a non-publicly traded CFC for the year being tested, must be measured by the adjusted tax basis of our assets or, if we were a publicly traded CFC or not a CFC for such year, the total value of our assets may be determined in part by reference to the quarterly market value of our common shares, which may be volatile) is attributable to assets that produce “passive income” or are held for the production of “passive income,” referred to herein as the Asset Test.</w:t>
      </w:r>
    </w:p>
    <w:p>
      <w:pPr>
        <w:spacing w:after="0" w:line="184"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the common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the common shares, absent the “deemed sale” election described below, we will continue to be treated as a PFIC with respect to such U.S. holder in all succeeding years during which the U.S. holder owns the common shares, regardless of whether we continue to meet the tests described above.</w:t>
      </w:r>
    </w:p>
    <w:p>
      <w:pPr>
        <w:spacing w:after="0" w:line="185"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Whether we are a PFIC for any taxable year will depend on the composition of our income and the projected composition and estimated fair market values of our assets in each year, and because this is a factual determination made annually after the end of each taxable year, there can be no assurance that we will not be considered a PFIC in any taxable year. In addition, the composition of our income and assets will be affected by how, and how quickly, we use the cash proceeds from this offering in our business.</w:t>
      </w:r>
    </w:p>
    <w:p>
      <w:pPr>
        <w:spacing w:after="0" w:line="180"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Because it is possible we were a PFIC for the 2017 taxable year, we provided information necessary for our shareholders to make a QEF election with respect to us for the 2017 taxable year on our website (www.crisprtx.com). For the 2017 taxable year, the amount of our ordinary earnings and net capital gain for purposes of the QEF inclusion rules was zero. Although we have not yet determined our PFIC status for the current taxable year, it is possible that we may be a PFIC for our current taxable year and future taxable years. Our status as a PFIC is a fact-intensive determination made on an annual basis and we cannot provide any assurances regarding our PFIC status for any past, current or future taxable years.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we are a PFIC, and you are a U.S. holder, then unless you make one of the elections described below, a special tax regime will apply to both</w:t>
      </w:r>
    </w:p>
    <w:p>
      <w:pPr>
        <w:spacing w:after="0" w:line="27" w:lineRule="exact"/>
        <w:rPr>
          <w:sz w:val="20"/>
          <w:szCs w:val="20"/>
          <w:color w:val="auto"/>
        </w:rPr>
      </w:pPr>
    </w:p>
    <w:p>
      <w:pPr>
        <w:ind w:left="200" w:firstLine="4"/>
        <w:spacing w:after="0" w:line="251" w:lineRule="auto"/>
        <w:tabs>
          <w:tab w:leader="none" w:pos="4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by us to you (generally, your ratable portion of distributions in any year which are greater than 125% of the average annual distribution received by you in the shorter of the three preceding years or your holding period for the common shares) and (b) any gain realized on the sale or other disposition, including a pledge, of the common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long-term capital gains discussed above under “Distributions.”</w:t>
      </w:r>
    </w:p>
    <w:p>
      <w:pPr>
        <w:spacing w:after="0" w:line="194"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the common shares, we must generally continue to be treated as a PFIC by that U.S. holder for all succeeding years during which the U.S. holder holds the common shares, unless we cease to meet the requirements for PFIC status and the U.S. holder makes a “deemed sale” election with respect to the common shares. If such election is made, the U.S. holder will be</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60"/>
          </w:cols>
          <w:pgMar w:left="240" w:top="455"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9" w:lineRule="auto"/>
        <w:rPr>
          <w:sz w:val="20"/>
          <w:szCs w:val="20"/>
          <w:color w:val="auto"/>
        </w:rPr>
      </w:pPr>
      <w:r>
        <w:rPr>
          <w:rFonts w:ascii="Times New Roman" w:cs="Times New Roman" w:eastAsia="Times New Roman" w:hAnsi="Times New Roman"/>
          <w:sz w:val="17"/>
          <w:szCs w:val="17"/>
          <w:color w:val="auto"/>
        </w:rPr>
        <w:t>deemed to have sold the common shares it holds at their fair market value on the last day of the last taxable year in which we qualified as a PFIC, and any gain from such deemed sale would be subject to the consequences described above. After the deemed sale election, the U.S. holder’s common shares with respect to which the deemed sale election was made will not be treated as shares in a PFIC unless we subsequently become a PFIC.</w:t>
      </w:r>
    </w:p>
    <w:p>
      <w:pPr>
        <w:spacing w:after="0" w:line="158"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Certain elections exist that may alleviate some of the adverse consequences of PFIC status and would result in an alternative treatment (such as mark-to-market treatment) of the common shares. If a U.S. holder makes the mark-to-market election, the U.S. holder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U.S. holder’s tax basis in the common shares will be adjusted to reflect these income or loss amounts.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the common shares are “regularly traded” on a “qualified exchange.” The common shares will be treated as “regularly traded” in any calendar year in which more than a de minimis quantity of the common shares are traded on a qualified exchange on at least 15 days during each calendar quarter (subject to the rule that trades that have as one of their principal purposes the meeting of the trading requirement are disregarded). Nasdaq is a qualified exchange for this purpose and, consequently, if the common shares are regularly traded, the mark-to-market election will be available to a U.S. holder.</w:t>
      </w:r>
    </w:p>
    <w:p>
      <w:pPr>
        <w:spacing w:after="0" w:line="189"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Alternatively, you may avoid the general tax treatment for PFICs described above by electing to treat us as a “qualified electing fund” under Section 1295 of the Code, or QEF, for each of the taxable years during your holding period that we are a PFIC. If a QEF election is not in effect for the first taxable year in your holding period in which we are a PFIC, a QEF election generally can only be made if you elect to make an applicable deemed sale or deemed dividend election on the first day of your taxable year in which the PFIC becomes a QEF pursuant to the QEF election. The deemed gain or deemed dividend recognized with respect to such an election would be subject to the general tax treatment of PFICs discussed above. We intend to determine our PFIC status at the end of each taxable year and to satisfy any applicable record keeping and reporting requirements that apply to a QEF, and will endeavor to provide to you, for each taxable year that we determine we are a PFIC, a PFIC Annual Information Statement containing information necessary for you to make a QEF election with respect to us. We may elect to provide such information on our website.</w:t>
      </w:r>
    </w:p>
    <w:p>
      <w:pPr>
        <w:spacing w:after="0" w:line="185" w:lineRule="exact"/>
        <w:rPr>
          <w:sz w:val="20"/>
          <w:szCs w:val="20"/>
          <w:color w:val="auto"/>
        </w:rPr>
      </w:pPr>
    </w:p>
    <w:p>
      <w:pPr>
        <w:ind w:left="200" w:right="100" w:firstLine="441"/>
        <w:spacing w:after="0" w:line="254" w:lineRule="auto"/>
        <w:rPr>
          <w:sz w:val="20"/>
          <w:szCs w:val="20"/>
          <w:color w:val="auto"/>
        </w:rPr>
      </w:pPr>
      <w:r>
        <w:rPr>
          <w:rFonts w:ascii="Times New Roman" w:cs="Times New Roman" w:eastAsia="Times New Roman" w:hAnsi="Times New Roman"/>
          <w:sz w:val="18"/>
          <w:szCs w:val="18"/>
          <w:color w:val="auto"/>
        </w:rPr>
        <w:t>If you make a QEF election with respect to a PFIC, you will be taxed currently on your pro rata share of the PFIC’s ordinary earnings and net capital gain (at ordinary income and capital gain rates, respectively) for each taxable year that the entity is a PFIC, even if no distributions were received. Any distributions we make out of our earnings and profits that were previously included in your income under the QEF election would not be taxable to you. Your tax basis in your common shares would be increased by an amount equal to any income included under the QEF election and decreased by any amount distributed on the common shares that is not included in your income. In addition, you will recognize capital gain or loss on the disposition of your common shares in an amount equal to the difference between the amount realized and your adjusted tax basis in the</w:t>
      </w:r>
    </w:p>
    <w:p>
      <w:pPr>
        <w:ind w:left="200"/>
        <w:spacing w:after="0" w:line="254" w:lineRule="auto"/>
        <w:rPr>
          <w:sz w:val="20"/>
          <w:szCs w:val="20"/>
          <w:color w:val="auto"/>
        </w:rPr>
      </w:pPr>
      <w:r>
        <w:rPr>
          <w:rFonts w:ascii="Times New Roman" w:cs="Times New Roman" w:eastAsia="Times New Roman" w:hAnsi="Times New Roman"/>
          <w:sz w:val="18"/>
          <w:szCs w:val="18"/>
          <w:color w:val="auto"/>
        </w:rPr>
        <w:t>common shares, each as determined in U.S. dollars. Once made, a QEF election remains in effect unless invalidated or terminated by the IRS or revoked by the shareholder. A QEF election can be revoked only with the consent of the IRS. You will not be currently taxed on the ordinary income and net capital gain of a PFIC with respect to which a QEF election was made for any taxable year of the non-U.S. corporation that such corporation does not satisfy the PFIC Income Test or Asset Test.</w:t>
      </w:r>
    </w:p>
    <w:p>
      <w:pPr>
        <w:spacing w:after="0" w:line="186"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You are urged to consult your own tax advisors regarding the availability of, and procedure for making, any deemed gain, deemed dividend or QEF election.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00"/>
          </w:cols>
          <w:pgMar w:left="24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Times New Roman" w:cs="Times New Roman" w:eastAsia="Times New Roman" w:hAnsi="Times New Roman"/>
          <w:sz w:val="17"/>
          <w:szCs w:val="17"/>
          <w:color w:val="auto"/>
        </w:rPr>
        <w:t>If we are determined to be a PFIC, a U.S. holder will generally be treated as owning a proportionate amount (by value) of shares owned by us in any direct or indirect subsidiaries that are also PFICs, each a lower-tier PFIC, and will be subject to similar adverse rules with respect to distributions from, or dispositions of, such lower-tier PFICs, in each case as if such U.S. holder held such shares directly (even if such U.S. holder does not receive the proceeds of such distributions or dispositions directly). We have not determined whether any of our subsidiaries (including TRACR Hematology Ltd. and CRISPR Therapeutics Ltd.) are or may be lower-tier PFICs for the 2017 taxable year, the current taxable year or future taxable years, and we do not intend to do so. Because of recent changes pursuant to the Tax Reform Act which may cause our non-United States subsidiaries to be treated as CFCs, even if we are not treated as a CFC, it is possible that our non-United States subsidiaries are also PFICs. We also do not intend to make available the information necessary for U.S. holders to make a QEF election with respect to any lower-tier PFICs and therefore you should expect that you will not be able to make a QEF election with respect to them. The mark-to-market election is not permitted for the shares of any of our subsidiaries that are also classified as PFICs. U.S. holders are urged to consult their tax advisors about the application of the PFIC and CFC rules to any of our subsidiaries.</w:t>
      </w:r>
    </w:p>
    <w:p>
      <w:pPr>
        <w:spacing w:after="0" w:line="178"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If a U.S. holder owns common shares during any taxable year in which we are a PFIC, the U.S. holder generally will be required to file an IRS Form 8621 (Information Return by a Shareholder of a Passive Foreign Investment Company or Qualified Electing Fund) with respect to us and any lower-tier PFIC such U.S. holder is treated as owning pursuant to the rules described above, generally with the U.S. holder’s federal income tax return for that year.</w:t>
      </w:r>
    </w:p>
    <w:p>
      <w:pPr>
        <w:spacing w:after="0" w:line="18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The U.S. federal income tax rules relating to PFICs are complex. Prospective U.S. investors are urged to consult their own tax advisers with respect to the acquisition, ownership and disposition of the common shares, the consequences to them of an investment in a PFIC, any elections available with respect to the common shares (including the unavailability of the market-to-market and QEF elections with respect to any lower-tier PFICs) and the IRS information reporting obligations applicable in connection with the acquisition, ownership and disposition of the common shares.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200" w:right="20" w:firstLine="441"/>
        <w:spacing w:after="0" w:line="274" w:lineRule="auto"/>
        <w:rPr>
          <w:sz w:val="20"/>
          <w:szCs w:val="20"/>
          <w:color w:val="auto"/>
        </w:rPr>
      </w:pPr>
      <w:r>
        <w:rPr>
          <w:rFonts w:ascii="Times New Roman" w:cs="Times New Roman" w:eastAsia="Times New Roman" w:hAnsi="Times New Roman"/>
          <w:sz w:val="17"/>
          <w:szCs w:val="17"/>
          <w:color w:val="auto"/>
        </w:rPr>
        <w:t>U.S. holders generally will be subject to information reporting requirements with respect to dividends on the common shares and on the proceeds from the sale, exchange or disposition of common shares that are paid within the United States or through U.S.-related financial intermediaries (and certain subsidiaries thereof),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Asset Reporting</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are required to report information relating to an interest in the common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the common shares.</w:t>
      </w:r>
    </w:p>
    <w:p>
      <w:pPr>
        <w:spacing w:after="0" w:line="18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THE DISCUSSION ABOVE IS A SUMMARY OF MATERIAL U.S. FEDERAL INCOME TAX CONSIDERATIONS TO U.S. HOLDERS. IT DOES NOT COVER ALL TAX MATTERS THAT MAY BE OF IMPORTANCE TO A PARTICULAR PROSPECTIVE INVESTOR. EACH PROSPECTIVE INVESTOR IS URGED TO CONSULT ITS OWN TAX ADVISOR ABOUT THE TAX CONSEQUENCES TO IT OF AN INVESTMENT IN THE SHARES IN LIGHT OF THE INVESTOR’S OWN CIRCUMSTANCES.</w:t>
      </w:r>
    </w:p>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240" w:top="455" w:right="5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validity of the common shares and certain other matters of Swiss law will be passed upon for us by Vischer AG, Zurich, Switzerland. Certain matters of U.S. federal and Delaware state law will be passed upon for us by Goodwin Procter LLP, Boston, Massachusetts.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CRISPR Therapeutics AG and Casebia Therapeutics LLP included in CRISPR Therapeutics AG’s Annual Report (Form 10-K) for the year ended December 31, 2017 have been audited by Ernst &amp; Young LLP, independent registered public accounting firm, with respect to CRISPR Therapeutics AG’, and Ernst &amp; Young LLP, independent auditors, with respect to Casebia Therapeutics LLP, as set forth in their report thereon incorporated by reference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200" w:right="300" w:firstLine="441"/>
        <w:spacing w:after="0" w:line="276"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Copies of certain information filed by us with the SEC are also available on our website</w:t>
      </w:r>
    </w:p>
    <w:p>
      <w:pPr>
        <w:spacing w:after="0" w:line="1"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www.crisprtx.com</w:t>
      </w:r>
      <w:r>
        <w:rPr>
          <w:rFonts w:ascii="Times New Roman" w:cs="Times New Roman" w:eastAsia="Times New Roman" w:hAnsi="Times New Roman"/>
          <w:sz w:val="18"/>
          <w:szCs w:val="18"/>
          <w:color w:val="auto"/>
        </w:rPr>
        <w:t>. Our website and the information contained therein or connected thereto are not a part of this prospectus supplement or the accompanying prospectus or the registration statement of which they form a part, and are not incorporated by reference in this prospectus supplement or the accompanying prospectus or the registration statement of which they form a part. You may also read and copy any document we file at the SEC’s Public Reference Room, 100 F Street, N.E., Washington, D.C. 20549. Please call the SEC at 1-800-SEC-0330 for further information on the operation of the Public Reference Room.</w:t>
      </w:r>
    </w:p>
    <w:p>
      <w:pPr>
        <w:spacing w:after="0" w:line="187"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part of a registration statement we filed with the SEC. This prospectus supplement and the accompanying prospectus,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superseded. This prospectus supplement incorporates by reference the documents listed below (File No. 001-37923)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86" w:lineRule="exact"/>
        <w:rPr>
          <w:sz w:val="20"/>
          <w:szCs w:val="20"/>
          <w:color w:val="auto"/>
        </w:rPr>
      </w:pPr>
    </w:p>
    <w:p>
      <w:pPr>
        <w:ind w:left="1060" w:right="180" w:hanging="316"/>
        <w:spacing w:after="0" w:line="261"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2017, which was filed with the SEC on March 8, 2018, including the information specifically incorporated by reference into the Annual Report on Form 10-K from our definitive proxy statement (other than information furnished rather than filed) for the 2018 Annual General Meeting of Shareholders, which was filed with the SEC on April 18, 2018;</w:t>
      </w:r>
    </w:p>
    <w:p>
      <w:pPr>
        <w:spacing w:after="0" w:line="85"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March 31, 2018, which was filed with the SEC on May 8, 2018;</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June 30, 2018, which was filed with the SEC on August 7, 2018;</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with the SEC on January 5, 2018, May 30, 2018, June 1, 2018, August 31, 2018, September 11, 2018, September 17, 2018 and September 21, 2018, to the extent the information in such reports is filed and not furnished; and</w:t>
      </w:r>
    </w:p>
    <w:p>
      <w:pPr>
        <w:spacing w:after="0" w:line="67" w:lineRule="exact"/>
        <w:rPr>
          <w:rFonts w:ascii="Times New Roman" w:cs="Times New Roman" w:eastAsia="Times New Roman" w:hAnsi="Times New Roman"/>
          <w:sz w:val="18"/>
          <w:szCs w:val="18"/>
          <w:color w:val="auto"/>
        </w:rPr>
      </w:pPr>
    </w:p>
    <w:p>
      <w:pPr>
        <w:ind w:left="1060" w:right="540" w:hanging="316"/>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shares contained in our Registration Statement on Form 8-A filed with the SEC on October 18, 2016, including any amendments or reports filed for the purpose of updating such description.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may request a copy of these filings, at no cost, by contacting us, either orally or in writing, at the following:</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CRISPR Therapeutics AG</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Baarerstrasse 14</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6300 Zug</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ir@crisprtx.com</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Phone: 339-970-2843</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2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CRISPR THERAPEUTICS AG</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200" w:right="60"/>
        <w:spacing w:after="0" w:line="266" w:lineRule="auto"/>
        <w:rPr>
          <w:sz w:val="20"/>
          <w:szCs w:val="20"/>
          <w:color w:val="auto"/>
        </w:rPr>
      </w:pPr>
      <w:r>
        <w:rPr>
          <w:rFonts w:ascii="Times New Roman" w:cs="Times New Roman" w:eastAsia="Times New Roman" w:hAnsi="Times New Roman"/>
          <w:sz w:val="18"/>
          <w:szCs w:val="18"/>
          <w:color w:val="auto"/>
        </w:rPr>
        <w:t>From time to time, we may offer up to $300,000,000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76" w:lineRule="exact"/>
        <w:rPr>
          <w:sz w:val="20"/>
          <w:szCs w:val="20"/>
          <w:color w:val="auto"/>
        </w:rPr>
      </w:pPr>
    </w:p>
    <w:p>
      <w:pPr>
        <w:ind w:left="200" w:right="260"/>
        <w:spacing w:after="0" w:line="261"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we will provide specific terms of the securities offered in a supplement to this prospectus. The prospectus supplement may also add, update or change information contained in this prospectus. You should carefully read this prospectus and the applicable prospectus supplement, as well as any documents incorporated by reference, before you invest in any of the securities being offered.</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Our common shares trade on the NASDAQ Global Market under the symbol “CRSP.” On November 8, 2017, the last reported sale price of our common shares was $17.94 per share. The applicable prospectus supplement will contain information, where applicable, as to any other listing on the NASDAQ Global Market or any securities market or other exchange of the securities, if any, covered by the prospectus supplement.</w:t>
      </w:r>
    </w:p>
    <w:p>
      <w:pPr>
        <w:spacing w:after="0" w:line="176"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213995</wp:posOffset>
            </wp:positionV>
            <wp:extent cx="14662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00" w:right="120"/>
        <w:spacing w:after="0" w:line="264" w:lineRule="auto"/>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Investing in our securities involves a high degree of risk. You should review carefully the risks and uncertainties described under the heading “</w:t>
      </w:r>
      <w:hyperlink w:anchor="page30">
        <w:r>
          <w:rPr>
            <w:rFonts w:ascii="Times New Roman" w:cs="Times New Roman" w:eastAsia="Times New Roman" w:hAnsi="Times New Roman"/>
            <w:sz w:val="21"/>
            <w:szCs w:val="21"/>
            <w:b w:val="1"/>
            <w:bCs w:val="1"/>
            <w:i w:val="1"/>
            <w:iCs w:val="1"/>
            <w:u w:val="single" w:color="auto"/>
            <w:color w:val="0000EE"/>
          </w:rPr>
          <w:t>Risk Factors</w:t>
        </w:r>
      </w:hyperlink>
      <w:r>
        <w:rPr>
          <w:rFonts w:ascii="Times New Roman" w:cs="Times New Roman" w:eastAsia="Times New Roman" w:hAnsi="Times New Roman"/>
          <w:sz w:val="21"/>
          <w:szCs w:val="21"/>
          <w:b w:val="1"/>
          <w:bCs w:val="1"/>
          <w:i w:val="1"/>
          <w:iCs w:val="1"/>
          <w:color w:val="auto"/>
        </w:rPr>
        <w:t>” contained in the applicable prospectus supplement and under similar headings in the other documents that are incorporated by reference into this prospectus as described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201295</wp:posOffset>
            </wp:positionV>
            <wp:extent cx="14662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0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207010</wp:posOffset>
            </wp:positionV>
            <wp:extent cx="14662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4, 2017.</w:t>
      </w:r>
    </w:p>
    <w:p>
      <w:pPr>
        <w:sectPr>
          <w:pgSz w:w="11900" w:h="16838" w:orient="portrait"/>
          <w:cols w:equalWidth="0" w:num="1">
            <w:col w:w="11200"/>
          </w:cols>
          <w:pgMar w:left="240" w:top="455" w:right="4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6900" w:type="dxa"/>
            <w:vAlign w:val="bottom"/>
            <w:gridSpan w:val="16"/>
          </w:tcPr>
          <w:p>
            <w:pPr>
              <w:spacing w:after="0"/>
              <w:rPr>
                <w:sz w:val="17"/>
                <w:szCs w:val="17"/>
                <w:color w:val="auto"/>
              </w:rPr>
            </w:pPr>
          </w:p>
        </w:tc>
        <w:tc>
          <w:tcPr>
            <w:tcW w:w="2920" w:type="dxa"/>
            <w:vAlign w:val="bottom"/>
          </w:tcPr>
          <w:p>
            <w:pPr>
              <w:spacing w:after="0"/>
              <w:rPr>
                <w:sz w:val="17"/>
                <w:szCs w:val="17"/>
                <w:color w:val="auto"/>
              </w:rPr>
            </w:pPr>
          </w:p>
        </w:tc>
      </w:tr>
      <w:tr>
        <w:trPr>
          <w:trHeight w:val="534"/>
        </w:trPr>
        <w:tc>
          <w:tcPr>
            <w:tcW w:w="200" w:type="dxa"/>
            <w:vAlign w:val="bottom"/>
          </w:tcPr>
          <w:p>
            <w:pPr>
              <w:spacing w:after="0"/>
              <w:rPr>
                <w:sz w:val="24"/>
                <w:szCs w:val="24"/>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9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ABOUT THIS PROSPECTUS</w:t>
              </w:r>
            </w:hyperlink>
          </w:p>
        </w:tc>
        <w:tc>
          <w:tcPr>
            <w:tcW w:w="5820" w:type="dxa"/>
            <w:vAlign w:val="bottom"/>
            <w:gridSpan w:val="10"/>
          </w:tcPr>
          <w:p>
            <w:pPr>
              <w:spacing w:after="0"/>
              <w:rPr>
                <w:sz w:val="24"/>
                <w:szCs w:val="24"/>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00" w:type="dxa"/>
            <w:vAlign w:val="bottom"/>
          </w:tcPr>
          <w:p>
            <w:pPr>
              <w:spacing w:after="0"/>
              <w:rPr>
                <w:sz w:val="17"/>
                <w:szCs w:val="17"/>
                <w:color w:val="auto"/>
              </w:rPr>
            </w:pPr>
          </w:p>
        </w:tc>
        <w:tc>
          <w:tcPr>
            <w:tcW w:w="8060" w:type="dxa"/>
            <w:vAlign w:val="bottom"/>
            <w:gridSpan w:val="1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CRISPR THERAPEUTICS AG</w:t>
              </w:r>
            </w:hyperlink>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RISK FACTORS</w:t>
              </w:r>
            </w:hyperlink>
          </w:p>
        </w:tc>
        <w:tc>
          <w:tcPr>
            <w:tcW w:w="1040" w:type="dxa"/>
            <w:vAlign w:val="bottom"/>
            <w:tcBorders>
              <w:top w:val="single" w:sz="8" w:color="0000EE"/>
            </w:tcBorders>
            <w:gridSpan w:val="6"/>
          </w:tcPr>
          <w:p>
            <w:pPr>
              <w:spacing w:after="0"/>
              <w:rPr>
                <w:sz w:val="17"/>
                <w:szCs w:val="17"/>
                <w:color w:val="auto"/>
              </w:rPr>
            </w:pPr>
          </w:p>
        </w:tc>
        <w:tc>
          <w:tcPr>
            <w:tcW w:w="5760" w:type="dxa"/>
            <w:vAlign w:val="bottom"/>
            <w:gridSpan w:val="9"/>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0" w:type="dxa"/>
            <w:vAlign w:val="bottom"/>
          </w:tcPr>
          <w:p>
            <w:pPr>
              <w:spacing w:after="0"/>
              <w:rPr>
                <w:sz w:val="17"/>
                <w:szCs w:val="17"/>
                <w:color w:val="auto"/>
              </w:rPr>
            </w:pPr>
          </w:p>
        </w:tc>
        <w:tc>
          <w:tcPr>
            <w:tcW w:w="5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SPECIAL NOTE REGARDING FORWARD-LOOKING STATEMENTS</w:t>
              </w:r>
            </w:hyperlink>
          </w:p>
        </w:tc>
        <w:tc>
          <w:tcPr>
            <w:tcW w:w="2720" w:type="dxa"/>
            <w:vAlign w:val="bottom"/>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0" w:type="dxa"/>
            <w:vAlign w:val="bottom"/>
          </w:tcPr>
          <w:p>
            <w:pPr>
              <w:spacing w:after="0"/>
              <w:rPr>
                <w:sz w:val="17"/>
                <w:szCs w:val="17"/>
                <w:color w:val="auto"/>
              </w:rPr>
            </w:pPr>
          </w:p>
        </w:tc>
        <w:tc>
          <w:tcPr>
            <w:tcW w:w="8060" w:type="dxa"/>
            <w:vAlign w:val="bottom"/>
            <w:gridSpan w:val="18"/>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RATIO OF EARNINGS TO FIXED CHARGES</w:t>
              </w:r>
            </w:hyperlink>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0" w:type="dxa"/>
            <w:vAlign w:val="bottom"/>
          </w:tcPr>
          <w:p>
            <w:pPr>
              <w:spacing w:after="0"/>
              <w:rPr>
                <w:sz w:val="17"/>
                <w:szCs w:val="17"/>
                <w:color w:val="auto"/>
              </w:rPr>
            </w:pPr>
          </w:p>
        </w:tc>
        <w:tc>
          <w:tcPr>
            <w:tcW w:w="35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USE OF PROCEEDS</w:t>
              </w:r>
            </w:hyperlink>
          </w:p>
        </w:tc>
        <w:tc>
          <w:tcPr>
            <w:tcW w:w="4560" w:type="dxa"/>
            <w:vAlign w:val="bottom"/>
            <w:gridSpan w:val="5"/>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COMPARISON OF SWISS LAW AND DELAWARE LAW</w:t>
              </w:r>
            </w:hyperlink>
          </w:p>
        </w:tc>
        <w:tc>
          <w:tcPr>
            <w:tcW w:w="3700" w:type="dxa"/>
            <w:vAlign w:val="bottom"/>
            <w:gridSpan w:val="3"/>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00" w:type="dxa"/>
            <w:vAlign w:val="bottom"/>
          </w:tcPr>
          <w:p>
            <w:pPr>
              <w:spacing w:after="0"/>
              <w:rPr>
                <w:sz w:val="17"/>
                <w:szCs w:val="17"/>
                <w:color w:val="auto"/>
              </w:rPr>
            </w:pPr>
          </w:p>
        </w:tc>
        <w:tc>
          <w:tcPr>
            <w:tcW w:w="8060" w:type="dxa"/>
            <w:vAlign w:val="bottom"/>
            <w:gridSpan w:val="18"/>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DESCRIPTION OF DEBT SECURITIES</w:t>
              </w:r>
            </w:hyperlink>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DESCRIPTION OF WARRANTS</w:t>
              </w:r>
            </w:hyperlink>
          </w:p>
        </w:tc>
        <w:tc>
          <w:tcPr>
            <w:tcW w:w="5040" w:type="dxa"/>
            <w:vAlign w:val="bottom"/>
            <w:gridSpan w:val="7"/>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00" w:type="dxa"/>
            <w:vAlign w:val="bottom"/>
          </w:tcPr>
          <w:p>
            <w:pPr>
              <w:spacing w:after="0"/>
              <w:rPr>
                <w:sz w:val="17"/>
                <w:szCs w:val="17"/>
                <w:color w:val="auto"/>
              </w:rPr>
            </w:pPr>
          </w:p>
        </w:tc>
        <w:tc>
          <w:tcPr>
            <w:tcW w:w="24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DESCRIPTION OF UNITS</w:t>
              </w:r>
            </w:hyperlink>
          </w:p>
        </w:tc>
        <w:tc>
          <w:tcPr>
            <w:tcW w:w="5580" w:type="dxa"/>
            <w:vAlign w:val="bottom"/>
            <w:gridSpan w:val="8"/>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60" w:type="dxa"/>
            <w:vAlign w:val="bottom"/>
            <w:gridSpan w:val="18"/>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DESCRIPTION OF SUBSCRIPTION RIGHTS</w:t>
              </w:r>
            </w:hyperlink>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PLAN OF DISTRIBUTION</w:t>
              </w:r>
            </w:hyperlink>
          </w:p>
        </w:tc>
        <w:tc>
          <w:tcPr>
            <w:tcW w:w="1400" w:type="dxa"/>
            <w:vAlign w:val="bottom"/>
            <w:tcBorders>
              <w:top w:val="single" w:sz="8" w:color="0000EE"/>
            </w:tcBorders>
            <w:gridSpan w:val="5"/>
          </w:tcPr>
          <w:p>
            <w:pPr>
              <w:spacing w:after="0"/>
              <w:rPr>
                <w:sz w:val="17"/>
                <w:szCs w:val="17"/>
                <w:color w:val="auto"/>
              </w:rPr>
            </w:pPr>
          </w:p>
        </w:tc>
        <w:tc>
          <w:tcPr>
            <w:tcW w:w="4600" w:type="dxa"/>
            <w:vAlign w:val="bottom"/>
            <w:gridSpan w:val="6"/>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LEGAL MATTERS</w:t>
              </w:r>
            </w:hyperlink>
          </w:p>
        </w:tc>
        <w:tc>
          <w:tcPr>
            <w:tcW w:w="6600" w:type="dxa"/>
            <w:vAlign w:val="bottom"/>
            <w:gridSpan w:val="14"/>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EXPERTS</w:t>
              </w:r>
            </w:hyperlink>
          </w:p>
        </w:tc>
        <w:tc>
          <w:tcPr>
            <w:tcW w:w="7280" w:type="dxa"/>
            <w:vAlign w:val="bottom"/>
            <w:gridSpan w:val="17"/>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WHERE YOU CAN FIND MORE INFORMATION</w:t>
              </w:r>
            </w:hyperlink>
          </w:p>
        </w:tc>
        <w:tc>
          <w:tcPr>
            <w:tcW w:w="4240" w:type="dxa"/>
            <w:vAlign w:val="bottom"/>
            <w:gridSpan w:val="4"/>
          </w:tcPr>
          <w:p>
            <w:pPr>
              <w:spacing w:after="0"/>
              <w:rPr>
                <w:sz w:val="17"/>
                <w:szCs w:val="17"/>
                <w:color w:val="auto"/>
              </w:rPr>
            </w:pPr>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00" w:type="dxa"/>
            <w:vAlign w:val="bottom"/>
          </w:tcPr>
          <w:p>
            <w:pPr>
              <w:spacing w:after="0"/>
              <w:rPr>
                <w:sz w:val="17"/>
                <w:szCs w:val="17"/>
                <w:color w:val="auto"/>
              </w:rPr>
            </w:pPr>
          </w:p>
        </w:tc>
        <w:tc>
          <w:tcPr>
            <w:tcW w:w="8060" w:type="dxa"/>
            <w:vAlign w:val="bottom"/>
            <w:gridSpan w:val="18"/>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INCORPORATION OF CERTAIN INFORMATION BY REFERENCE</w:t>
              </w:r>
            </w:hyperlink>
          </w:p>
        </w:tc>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SEC, utilizing a “shelf” registration process. Under this shelf registration process, we may sell any combination of the securities described in this prospectus in one or more offerings up to a total aggregate offering price of $300,000,000.</w:t>
      </w:r>
    </w:p>
    <w:p>
      <w:pPr>
        <w:spacing w:after="0" w:line="176" w:lineRule="exact"/>
        <w:rPr>
          <w:sz w:val="20"/>
          <w:szCs w:val="20"/>
          <w:color w:val="auto"/>
        </w:rPr>
      </w:pPr>
    </w:p>
    <w:p>
      <w:pPr>
        <w:ind w:left="200" w:right="80"/>
        <w:spacing w:after="0" w:line="28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applicable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32 of this prospectus.</w:t>
      </w:r>
    </w:p>
    <w:p>
      <w:pPr>
        <w:spacing w:after="0" w:line="165"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the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 xml:space="preserve">Unless the context indicates otherwise, as used in this prospectus, the terms “CRISPR,” “CRISPR Therapeutics,” “the Company,” “we,” “us” and “our” refer to CRISPR Therapeutics AG,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xml:space="preserve"> and its consolidated subsidiaries. All trademarks or trade names referred to in this prospectus are the property of their respective owners.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24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 xml:space="preserve">We are a leading gene editing company focused on the development of CRISPR/Cas9-based therapeutics. CRISPR/Cas9 stands for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lustered,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egularly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nterspaced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hort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alindromic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epeats (CRISPR)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ssociated protein-9 and is a revolutionary technology for gene editing, the process of precisely altering specific sequences of genomic DNA. We are applying this technology to potentially treat a broad set of both rare and common diseases by disrupting, correcting or regulating disease-related genes. We believe that our scientific expertise, together with our gene editing approach, may enable an entirely new class of highly effective and potentially curative treatments for patients for whom current biopharmaceutical approaches have had limited success. Our most advanced programs target beta-thalassemia and sickle cell disease, two hemoglobinopathies that have high unmet medical need.</w:t>
      </w:r>
    </w:p>
    <w:p>
      <w:pPr>
        <w:spacing w:after="0" w:line="189"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The use of CRISPR/Cas9 for gene editing was derived from a naturally occurring viral defense mechanism in bacteria and has been described by leading scientific journals as a breakthrough technology. The application of CRISPR/Cas9 for gene editing was co-invented by one of our scientific founders, Dr. Emmanuelle Charpentier, a director of the Max Planck Institute for Infection Biology in Berlin. Dr. Charpentier and her collaborators published work elucidating the mechanism by which the Cas9 endonuclease, a key component of CRISPR/Cas9, can be programmed to cut double-stranded DNA at specific locations. We have acquired rights to the foundational intellectual property encompassing CRISPR/Cas9 and related technologies from</w:t>
      </w:r>
    </w:p>
    <w:p>
      <w:pPr>
        <w:spacing w:after="0" w:line="3"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Dr. Charpentier, and continue to strengthen our intellectual property estate through our own research and additional in-licensing efforts, furthering our leadership in the development of CRISPR/Cas9-based therapeutics.</w:t>
      </w:r>
    </w:p>
    <w:p>
      <w:pPr>
        <w:spacing w:after="0" w:line="180" w:lineRule="exact"/>
        <w:rPr>
          <w:sz w:val="20"/>
          <w:szCs w:val="20"/>
          <w:color w:val="auto"/>
        </w:rPr>
      </w:pPr>
    </w:p>
    <w:p>
      <w:pPr>
        <w:ind w:left="200" w:right="180"/>
        <w:spacing w:after="0" w:line="272" w:lineRule="auto"/>
        <w:rPr>
          <w:sz w:val="20"/>
          <w:szCs w:val="20"/>
          <w:color w:val="auto"/>
        </w:rPr>
      </w:pPr>
      <w:r>
        <w:rPr>
          <w:rFonts w:ascii="Times New Roman" w:cs="Times New Roman" w:eastAsia="Times New Roman" w:hAnsi="Times New Roman"/>
          <w:sz w:val="17"/>
          <w:szCs w:val="17"/>
          <w:color w:val="auto"/>
        </w:rPr>
        <w:t xml:space="preserve">Our product development and partnership strategies are designed to exploit the full potential of the CRISPR/Cas9 platform while maximizing the probability of successfully developing our product candidates. We are pursuing a two-pronged product development strategy utilizing both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 xml:space="preserve">in vivo </w:t>
      </w:r>
      <w:r>
        <w:rPr>
          <w:rFonts w:ascii="Times New Roman" w:cs="Times New Roman" w:eastAsia="Times New Roman" w:hAnsi="Times New Roman"/>
          <w:sz w:val="17"/>
          <w:szCs w:val="17"/>
          <w:color w:val="auto"/>
        </w:rPr>
        <w:t>approaches. Our most advanced programs use an</w:t>
      </w:r>
      <w:r>
        <w:rPr>
          <w:rFonts w:ascii="Times New Roman" w:cs="Times New Roman" w:eastAsia="Times New Roman" w:hAnsi="Times New Roman"/>
          <w:sz w:val="17"/>
          <w:szCs w:val="17"/>
          <w:i w:val="1"/>
          <w:iCs w:val="1"/>
          <w:color w:val="auto"/>
        </w:rPr>
        <w:t xml:space="preserve"> ex vivo </w:t>
      </w:r>
      <w:r>
        <w:rPr>
          <w:rFonts w:ascii="Times New Roman" w:cs="Times New Roman" w:eastAsia="Times New Roman" w:hAnsi="Times New Roman"/>
          <w:sz w:val="17"/>
          <w:szCs w:val="17"/>
          <w:color w:val="auto"/>
        </w:rPr>
        <w:t xml:space="preserve">approach, whereby cells are harvested from a patient, treated with a CRISPR/Cas9-based therapeutic and reintroduced. We believe that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approach is less technically challenging than an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approach. We have chosen to conduct our lead programs in hemoglobinopathies given the relative ease of editing genes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the significant unmet medical need associated with beta-thalassemia and sickle cell disease and the well-understood genetics of these diseases. Beyond these lead programs, we are pursuing a number of additional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applications, as well as select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applications, whereby the CRISPR/Cas9 product candidate is delivered directly to target cells within the human body. Our initial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applications will leverage well-established delivery technologies for gene-based therapeutics.</w:t>
      </w:r>
    </w:p>
    <w:p>
      <w:pPr>
        <w:spacing w:after="0" w:line="172"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18"/>
          <w:szCs w:val="18"/>
          <w:color w:val="auto"/>
        </w:rPr>
        <w:t>Given the numerous potential therapeutic applications for CRISPR/Cas9, we have partnered strategically to broaden the indications we can pursue and accelerate development of programs by accessing specific disease-area expertise. In particular, we established a joint venture with Bayer AG and its subsidiaries, or Bayer, in which we have a 50% interest, and a collaboration agreement with Vertex Pharmaceuticals Incorporated, or Vertex, in order to pursue specific indications where these companies have outstanding and distinctive capabilities. The significant resource commitments by our partners underscore the potential of our platform, as well as their dedication to developing transformative CRISPR/Cas9-based treatments.</w:t>
      </w:r>
    </w:p>
    <w:p>
      <w:pPr>
        <w:spacing w:after="0" w:line="184"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Our mission is to create transformative gene-based medicines for serious human diseases. We believe that our highly experienced team, together with our scientific expertise, product development strategy, partnerships and intellectual property position us as a leader in the development of CRISPR/Cas9-based therapeutics.</w:t>
      </w:r>
    </w:p>
    <w:p>
      <w:pPr>
        <w:spacing w:after="0" w:line="174"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 xml:space="preserve">We are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xml:space="preserve"> organized under the laws of Switzerland. We were incorporated on October 28, 2013 in Basel, Switzerland. Our principal offices are located at Baarerstrasse 14, 6300 Zug, Switzerland and our principal research operations are in Cambridge, Massachusetts. Our telephone number is +41 561 3277 Our website is located at http://www.crisprtx.com. We do not incorporate by reference into this prospectus the information on, or accessible through, our website, and you should not consider it as part of this prospectus.</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under similar headings in the other documents that are incorporated by reference into this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24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incorporated by reference from our most recent Annual Report on Form 10-K and other filings we make with the SEC from time to time, which are incorporated by reference herein in their entirety, together with other information in this prospectus, the information and documents incorporated by reference in this prospectus, and in any prospectus supplement or free writing prospectus that we authorize for use in connection with this offering.</w:t>
      </w:r>
    </w:p>
    <w:p>
      <w:pPr>
        <w:spacing w:after="0" w:line="189" w:lineRule="exact"/>
        <w:rPr>
          <w:sz w:val="20"/>
          <w:szCs w:val="20"/>
          <w:color w:val="auto"/>
        </w:rPr>
      </w:pPr>
    </w:p>
    <w:p>
      <w:pPr>
        <w:ind w:left="200"/>
        <w:spacing w:after="0" w:line="281" w:lineRule="auto"/>
        <w:rPr>
          <w:sz w:val="20"/>
          <w:szCs w:val="20"/>
          <w:color w:val="auto"/>
        </w:rPr>
      </w:pPr>
      <w:r>
        <w:rPr>
          <w:rFonts w:ascii="Times New Roman" w:cs="Times New Roman" w:eastAsia="Times New Roman" w:hAnsi="Times New Roman"/>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Securities Exchange Act of 1934, as amended, or the Exchange Act, these forward-looking statements include statements regarding, among other things, our future discovery and development efforts, our future operating results and financial position, our business strategy, and other objectives for our operations.</w:t>
      </w:r>
    </w:p>
    <w:p>
      <w:pPr>
        <w:spacing w:after="0" w:line="165"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84"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You should refer to the “Risk Factors” section contained in the applicable prospectus supplement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89"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200"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shown. You should read this table in conjunction with the financial statements and notes incorporated by reference in this prospectus.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60" w:type="dxa"/>
            <w:vAlign w:val="bottom"/>
          </w:tcPr>
          <w:p>
            <w:pPr>
              <w:spacing w:after="0"/>
              <w:rPr>
                <w:sz w:val="12"/>
                <w:szCs w:val="12"/>
                <w:color w:val="auto"/>
              </w:rPr>
            </w:pPr>
          </w:p>
        </w:tc>
        <w:tc>
          <w:tcPr>
            <w:tcW w:w="14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2"/>
          </w:tcPr>
          <w:p>
            <w:pPr>
              <w:jc w:val="center"/>
              <w:ind w:left="468"/>
              <w:spacing w:after="0" w:line="147"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20" w:type="dxa"/>
            <w:vAlign w:val="bottom"/>
            <w:gridSpan w:val="2"/>
          </w:tcPr>
          <w:p>
            <w:pPr>
              <w:jc w:val="center"/>
              <w:ind w:right="580"/>
              <w:spacing w:after="0" w:line="12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040" w:type="dxa"/>
            <w:vAlign w:val="bottom"/>
            <w:gridSpan w:val="3"/>
          </w:tcPr>
          <w:p>
            <w:pPr>
              <w:jc w:val="center"/>
              <w:ind w:left="968"/>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92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56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60" w:type="dxa"/>
            <w:vAlign w:val="bottom"/>
            <w:gridSpan w:val="3"/>
          </w:tcPr>
          <w:p>
            <w:pPr>
              <w:jc w:val="center"/>
              <w:ind w:left="40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500" w:type="dxa"/>
            <w:vAlign w:val="bottom"/>
            <w:gridSpan w:val="2"/>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5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400" w:type="dxa"/>
            <w:vAlign w:val="bottom"/>
            <w:gridSpan w:val="2"/>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0"/>
              </w:rPr>
              <w:t>N/A</w:t>
            </w: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0"/>
              </w:rPr>
              <w:t>N/A</w:t>
            </w: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120"/>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ratios in the table above, earnings consist of net loss before income taxes. Fixed charges include any interest expense on indebtedness and an estimate of the interest expense within rental expense.</w:t>
      </w:r>
    </w:p>
    <w:p>
      <w:pPr>
        <w:spacing w:after="0" w:line="162" w:lineRule="exact"/>
        <w:rPr>
          <w:sz w:val="20"/>
          <w:szCs w:val="20"/>
          <w:color w:val="auto"/>
        </w:rPr>
      </w:pPr>
    </w:p>
    <w:p>
      <w:pPr>
        <w:ind w:left="200" w:right="100"/>
        <w:spacing w:after="0" w:line="266" w:lineRule="auto"/>
        <w:rPr>
          <w:sz w:val="20"/>
          <w:szCs w:val="20"/>
          <w:color w:val="auto"/>
        </w:rPr>
      </w:pPr>
      <w:r>
        <w:rPr>
          <w:rFonts w:ascii="Times New Roman" w:cs="Times New Roman" w:eastAsia="Times New Roman" w:hAnsi="Times New Roman"/>
          <w:sz w:val="18"/>
          <w:szCs w:val="18"/>
          <w:color w:val="auto"/>
        </w:rPr>
        <w:t>Due to our net losses for periods, earnings were insufficient to cover fixed charges for such periods and we are unable to disclose a ratio of earnings to fixed charges for such periods. The dollar amount of the deficiency in earnings available for fixed charges for periods was approximately $68.4 million, $23.2 million, $25.8 million, $6.8 million and $2.1 million, respectively.</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55" w:right="4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we currently intend to use the net proceeds from the sale of the securities offered under this prospectus for general corporate purposes. General corporate purposes may include research and development and clinical development costs to support the advancement of our product candidates and the expansion of our research development programs; working capital; capital expenditures; office expansion; and other general corporate purposes. We will set forth in the applicable prospectus supplement our intended use for the net proceeds received from the sale of any securities sold pursuant to the prospectus supplement. Pending these uses, we intend to invest the net proceeds in investment-grade, interest-bearing securities.</w:t>
      </w:r>
    </w:p>
    <w:p>
      <w:pPr>
        <w:spacing w:after="0" w:line="1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240" w:top="455" w:right="5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of our capital shares is based on the provisions of our articles of association, as well as our organizational rules and the applicable provisions of Swiss law. This information is qualified entirely by reference to the applicable provisions of our articles of association, our organizational rules and Swiss law. For information on how to obtain copies of our articles of association and organizational rules, which are exhibits to our registration statement on Form S-1 filed with the Securities and Exchange Commission, see “Where You Can Find Additional Information.”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issued share capital is CHF 1,207,610.22 and is fully paid-in. It is divided into 40,253,674 common shares with a nominal value of CHF 0.03 each.</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21" w:lineRule="exact"/>
        <w:rPr>
          <w:sz w:val="20"/>
          <w:szCs w:val="20"/>
          <w:color w:val="auto"/>
        </w:rPr>
      </w:pPr>
    </w:p>
    <w:p>
      <w:pPr>
        <w:jc w:val="both"/>
        <w:ind w:left="200" w:right="12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articles of association authorize the board of directors to increase our share capital at any time until June 30, 2018 by a maximum aggregate amount of CHF 353,970.15 through the issuance of not more than 11,799,005 common shares, which would have to be fully paid-in, with a nominal value of 0.03 CHF each. As of November 1, 2017, we had 41,002,771 common shares outstanding.</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And Conditional Share Capital</w:t>
      </w:r>
    </w:p>
    <w:p>
      <w:pPr>
        <w:spacing w:after="0" w:line="119"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 xml:space="preserve">Under Swiss law, we may increase our share capital </w:t>
      </w:r>
      <w:r>
        <w:rPr>
          <w:rFonts w:ascii="Times New Roman" w:cs="Times New Roman" w:eastAsia="Times New Roman" w:hAnsi="Times New Roman"/>
          <w:sz w:val="18"/>
          <w:szCs w:val="18"/>
          <w:i w:val="1"/>
          <w:iCs w:val="1"/>
          <w:color w:val="auto"/>
        </w:rPr>
        <w:t>(Aktienkapital)</w:t>
      </w:r>
      <w:r>
        <w:rPr>
          <w:rFonts w:ascii="Times New Roman" w:cs="Times New Roman" w:eastAsia="Times New Roman" w:hAnsi="Times New Roman"/>
          <w:sz w:val="18"/>
          <w:szCs w:val="18"/>
          <w:color w:val="auto"/>
        </w:rPr>
        <w:t xml:space="preserve">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5"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80" w:lineRule="exact"/>
        <w:rPr>
          <w:sz w:val="20"/>
          <w:szCs w:val="20"/>
          <w:color w:val="auto"/>
        </w:rPr>
      </w:pPr>
    </w:p>
    <w:p>
      <w:pPr>
        <w:ind w:left="640" w:right="80" w:hanging="436"/>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conditional capital </w:t>
      </w:r>
      <w:r>
        <w:rPr>
          <w:rFonts w:ascii="Times New Roman" w:cs="Times New Roman" w:eastAsia="Times New Roman" w:hAnsi="Times New Roman"/>
          <w:sz w:val="18"/>
          <w:szCs w:val="18"/>
          <w:i w:val="1"/>
          <w:iCs w:val="1"/>
          <w:color w:val="auto"/>
        </w:rPr>
        <w:t>(bedingtes Kapital)</w:t>
      </w:r>
      <w:r>
        <w:rPr>
          <w:rFonts w:ascii="Times New Roman" w:cs="Times New Roman" w:eastAsia="Times New Roman" w:hAnsi="Times New Roman"/>
          <w:sz w:val="18"/>
          <w:szCs w:val="18"/>
          <w:color w:val="auto"/>
        </w:rPr>
        <w:t xml:space="preserve"> for the purpose of issuing shares in connection with, among other things, (i) option and conversion rights granted in connection with convertible bonds of the Company or one of our subsidiaries or (ii) grants of rights to employees, members of our board of directors or consultants of the Company or of one of our subsidiaries or other persons providing services to the Company or a subsidiary to subscribe for new shares (conversion or option rights); or</w:t>
      </w:r>
    </w:p>
    <w:p>
      <w:pPr>
        <w:spacing w:after="0" w:line="85" w:lineRule="exact"/>
        <w:rPr>
          <w:rFonts w:ascii="Times New Roman" w:cs="Times New Roman" w:eastAsia="Times New Roman" w:hAnsi="Times New Roman"/>
          <w:sz w:val="18"/>
          <w:szCs w:val="18"/>
          <w:color w:val="auto"/>
        </w:rPr>
      </w:pPr>
    </w:p>
    <w:p>
      <w:pPr>
        <w:ind w:left="640" w:right="80" w:hanging="436"/>
        <w:spacing w:after="0" w:line="28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capital </w:t>
      </w:r>
      <w:r>
        <w:rPr>
          <w:rFonts w:ascii="Times New Roman" w:cs="Times New Roman" w:eastAsia="Times New Roman" w:hAnsi="Times New Roman"/>
          <w:sz w:val="18"/>
          <w:szCs w:val="18"/>
          <w:i w:val="1"/>
          <w:iCs w:val="1"/>
          <w:color w:val="auto"/>
        </w:rPr>
        <w:t>(genehmigtes Kapital)</w:t>
      </w:r>
      <w:r>
        <w:rPr>
          <w:rFonts w:ascii="Times New Roman" w:cs="Times New Roman" w:eastAsia="Times New Roman" w:hAnsi="Times New Roman"/>
          <w:sz w:val="18"/>
          <w:szCs w:val="18"/>
          <w:color w:val="auto"/>
        </w:rPr>
        <w:t xml:space="preserve"> to be utilized by the board of directors within a period determined by the shareholders but not exceeding two years from the date of the shareholder approval.</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19" w:lineRule="exact"/>
        <w:rPr>
          <w:sz w:val="20"/>
          <w:szCs w:val="20"/>
          <w:color w:val="auto"/>
        </w:rPr>
      </w:pPr>
    </w:p>
    <w:p>
      <w:pPr>
        <w:ind w:left="200" w:right="80"/>
        <w:spacing w:after="0" w:line="267" w:lineRule="auto"/>
        <w:rPr>
          <w:sz w:val="20"/>
          <w:szCs w:val="20"/>
          <w:color w:val="auto"/>
        </w:rPr>
      </w:pPr>
      <w:r>
        <w:rPr>
          <w:rFonts w:ascii="Times New Roman" w:cs="Times New Roman" w:eastAsia="Times New Roman" w:hAnsi="Times New Roman"/>
          <w:sz w:val="18"/>
          <w:szCs w:val="18"/>
          <w:color w:val="auto"/>
        </w:rPr>
        <w:t xml:space="preserve">Pursuant to the CO, shareholders have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xml:space="preserve"> to subscribe for new issuances of shares. With respect to conditional capital in connection with the issuance of conversion rights, convertible bonds or similar debt instruments, shareholders have advance subscription rights </w:t>
      </w:r>
      <w:r>
        <w:rPr>
          <w:rFonts w:ascii="Times New Roman" w:cs="Times New Roman" w:eastAsia="Times New Roman" w:hAnsi="Times New Roman"/>
          <w:sz w:val="18"/>
          <w:szCs w:val="18"/>
          <w:i w:val="1"/>
          <w:iCs w:val="1"/>
          <w:color w:val="auto"/>
        </w:rPr>
        <w:t xml:space="preserve">(Vorwegzeichnungsrechte) </w:t>
      </w:r>
      <w:r>
        <w:rPr>
          <w:rFonts w:ascii="Times New Roman" w:cs="Times New Roman" w:eastAsia="Times New Roman" w:hAnsi="Times New Roman"/>
          <w:sz w:val="18"/>
          <w:szCs w:val="18"/>
          <w:color w:val="auto"/>
        </w:rPr>
        <w:t>for the subscription of conversion rights, convertible bonds or similar debt instruments.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24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13" w:lineRule="auto"/>
        <w:rPr>
          <w:sz w:val="20"/>
          <w:szCs w:val="20"/>
          <w:color w:val="auto"/>
        </w:rPr>
      </w:pPr>
      <w:r>
        <w:rPr>
          <w:rFonts w:ascii="Times New Roman" w:cs="Times New Roman" w:eastAsia="Times New Roman" w:hAnsi="Times New Roman"/>
          <w:sz w:val="17"/>
          <w:szCs w:val="17"/>
          <w:color w:val="auto"/>
        </w:rPr>
        <w:t>A resolution passed at a general meeting of shareholders by two-thirds of the shares represented and the absolute majority of the nominal value of the shares represented may authorize our board of directors to withdraw or limit pre-emptive rights or advance subscription rights in certain circumstances.</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If pre-emptive rights are granted, but not exercised, the board of directors may allocate the pre-emptive rights as it elects.</w:t>
      </w:r>
    </w:p>
    <w:p>
      <w:pPr>
        <w:spacing w:after="0" w:line="225" w:lineRule="exact"/>
        <w:rPr>
          <w:sz w:val="20"/>
          <w:szCs w:val="20"/>
          <w:color w:val="auto"/>
        </w:rPr>
      </w:pPr>
    </w:p>
    <w:p>
      <w:pPr>
        <w:ind w:left="200" w:right="300"/>
        <w:spacing w:after="0" w:line="313" w:lineRule="auto"/>
        <w:rPr>
          <w:sz w:val="20"/>
          <w:szCs w:val="20"/>
          <w:color w:val="auto"/>
        </w:rPr>
      </w:pPr>
      <w:r>
        <w:rPr>
          <w:rFonts w:ascii="Times New Roman" w:cs="Times New Roman" w:eastAsia="Times New Roman" w:hAnsi="Times New Roman"/>
          <w:sz w:val="17"/>
          <w:szCs w:val="17"/>
          <w:color w:val="auto"/>
        </w:rPr>
        <w:t>With respect to our authorized share capital, the board of directors is authorized by our articles of association to withdraw or to limit the pre-emptive rights of shareholders, and to allocate them to third parties or to us, in the event that the newly issued shares are used for the following purposes:</w:t>
      </w:r>
    </w:p>
    <w:p>
      <w:pPr>
        <w:spacing w:after="0" w:line="44" w:lineRule="exact"/>
        <w:rPr>
          <w:sz w:val="20"/>
          <w:szCs w:val="20"/>
          <w:color w:val="auto"/>
        </w:rPr>
      </w:pPr>
    </w:p>
    <w:p>
      <w:pPr>
        <w:ind w:left="640" w:hanging="43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130" w:lineRule="exact"/>
        <w:rPr>
          <w:rFonts w:ascii="Times New Roman" w:cs="Times New Roman" w:eastAsia="Times New Roman" w:hAnsi="Times New Roman"/>
          <w:sz w:val="18"/>
          <w:szCs w:val="18"/>
          <w:color w:val="auto"/>
        </w:rPr>
      </w:pPr>
    </w:p>
    <w:p>
      <w:pPr>
        <w:ind w:left="640" w:right="200" w:hanging="436"/>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67" w:lineRule="exact"/>
        <w:rPr>
          <w:rFonts w:ascii="Times New Roman" w:cs="Times New Roman" w:eastAsia="Times New Roman" w:hAnsi="Times New Roman"/>
          <w:sz w:val="18"/>
          <w:szCs w:val="18"/>
          <w:color w:val="auto"/>
        </w:rPr>
      </w:pPr>
    </w:p>
    <w:p>
      <w:pPr>
        <w:ind w:left="640" w:right="80" w:hanging="436"/>
        <w:spacing w:after="0" w:line="313"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43" w:lineRule="exact"/>
        <w:rPr>
          <w:rFonts w:ascii="Times New Roman" w:cs="Times New Roman" w:eastAsia="Times New Roman" w:hAnsi="Times New Roman"/>
          <w:sz w:val="17"/>
          <w:szCs w:val="17"/>
          <w:color w:val="auto"/>
        </w:rPr>
      </w:pPr>
    </w:p>
    <w:p>
      <w:pPr>
        <w:ind w:left="640" w:right="100" w:hanging="436"/>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67" w:lineRule="exact"/>
        <w:rPr>
          <w:rFonts w:ascii="Times New Roman" w:cs="Times New Roman" w:eastAsia="Times New Roman" w:hAnsi="Times New Roman"/>
          <w:sz w:val="18"/>
          <w:szCs w:val="18"/>
          <w:color w:val="auto"/>
        </w:rPr>
      </w:pPr>
    </w:p>
    <w:p>
      <w:pPr>
        <w:ind w:left="640" w:hanging="436"/>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67" w:lineRule="exact"/>
        <w:rPr>
          <w:rFonts w:ascii="Times New Roman" w:cs="Times New Roman" w:eastAsia="Times New Roman" w:hAnsi="Times New Roman"/>
          <w:sz w:val="18"/>
          <w:szCs w:val="18"/>
          <w:color w:val="auto"/>
        </w:rPr>
      </w:pPr>
    </w:p>
    <w:p>
      <w:pPr>
        <w:ind w:left="640" w:right="120" w:hanging="436"/>
        <w:spacing w:after="0" w:line="258"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89"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of the CO.</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Conditional Share Capital for Bonds and Similar Debt Instruments</w:t>
      </w:r>
    </w:p>
    <w:p>
      <w:pPr>
        <w:spacing w:after="0" w:line="119"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Our share capital may be increased by a maximum aggregate amount of CHF 147,591.00 through the issuance of not more than 4,919,700 common shares, which would have to be fully paid-in, with a nominal value of CHF 0.03 each, by the exercise of conversion and/or option or warrant rights granted in connection with bonds or similar instruments of the Company or one of our subsidiaries, including convertible debt instruments. Shareholders will not have pre-emptive rights in such circumstances. The holders of convertible bonds are entitled to the new shares upon the occurrence of the applicable conversion feature.</w:t>
      </w:r>
    </w:p>
    <w:p>
      <w:pPr>
        <w:spacing w:after="0" w:line="184" w:lineRule="exact"/>
        <w:rPr>
          <w:sz w:val="20"/>
          <w:szCs w:val="20"/>
          <w:color w:val="auto"/>
        </w:rPr>
      </w:pPr>
    </w:p>
    <w:p>
      <w:pPr>
        <w:ind w:left="200" w:right="600"/>
        <w:spacing w:after="0" w:line="282" w:lineRule="auto"/>
        <w:rPr>
          <w:sz w:val="20"/>
          <w:szCs w:val="20"/>
          <w:color w:val="auto"/>
        </w:rPr>
      </w:pPr>
      <w:r>
        <w:rPr>
          <w:rFonts w:ascii="Times New Roman" w:cs="Times New Roman" w:eastAsia="Times New Roman" w:hAnsi="Times New Roman"/>
          <w:sz w:val="18"/>
          <w:szCs w:val="18"/>
          <w:color w:val="auto"/>
        </w:rPr>
        <w:t>When issuing convertible bonds, the board of directors is authorized to withdraw or to limit the advance right of shareholders to subscribe to the convertible bond issuance:</w:t>
      </w:r>
    </w:p>
    <w:p>
      <w:pPr>
        <w:spacing w:after="0" w:line="67" w:lineRule="exact"/>
        <w:rPr>
          <w:sz w:val="20"/>
          <w:szCs w:val="20"/>
          <w:color w:val="auto"/>
        </w:rPr>
      </w:pPr>
    </w:p>
    <w:p>
      <w:pPr>
        <w:ind w:left="640" w:right="40" w:hanging="436"/>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financing or refinancing the acquisition of enterprises, divisions thereof, or of participations or of newly planned investments of the Company; or</w:t>
      </w:r>
    </w:p>
    <w:p>
      <w:pPr>
        <w:spacing w:after="0" w:line="6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issuance occurs in international capital markets or through private placements.</w:t>
      </w:r>
    </w:p>
    <w:p>
      <w:pPr>
        <w:spacing w:after="0" w:line="225" w:lineRule="exact"/>
        <w:rPr>
          <w:sz w:val="20"/>
          <w:szCs w:val="20"/>
          <w:color w:val="auto"/>
        </w:rPr>
      </w:pPr>
    </w:p>
    <w:p>
      <w:pPr>
        <w:ind w:left="200" w:right="260"/>
        <w:spacing w:after="0" w:line="266" w:lineRule="auto"/>
        <w:rPr>
          <w:sz w:val="20"/>
          <w:szCs w:val="20"/>
          <w:color w:val="auto"/>
        </w:rPr>
      </w:pPr>
      <w:r>
        <w:rPr>
          <w:rFonts w:ascii="Times New Roman" w:cs="Times New Roman" w:eastAsia="Times New Roman" w:hAnsi="Times New Roman"/>
          <w:sz w:val="18"/>
          <w:szCs w:val="18"/>
          <w:color w:val="auto"/>
        </w:rPr>
        <w:t>To the extent that the advance subscription rights are withdrawn, (i) the instruments are to be issued at market conditions; (ii) the term to exercise the option or conversion rights may not exceed 10 years as of the date of the issuance for warrants and twenty years for conversion rights; and (iii) the exercise price for the new shares must at least correspond to the market conditions at the time of the issuance of the instruments.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24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119"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Our share capital may, to the exclusion of the pre-emptive rights of shareholders, be increased by a maximum aggregate amount of CHF 372,557.73 through the issuance of not more than 12,418,591 common shares, which would have to be fully paid-in, with a nominal value of CHF 0.03 each, by the exercise of option or conversion rights that have been granted to employees, members of the board of directors or consultants of the Company or of one of our subsidiaries or other persons providing services to the Company or a subsidiary through one or more employee benefit plans created by the board of directors.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119" w:lineRule="exact"/>
        <w:rPr>
          <w:sz w:val="20"/>
          <w:szCs w:val="20"/>
          <w:color w:val="auto"/>
        </w:rPr>
      </w:pPr>
    </w:p>
    <w:p>
      <w:pPr>
        <w:ind w:left="200" w:right="120"/>
        <w:spacing w:after="0" w:line="256" w:lineRule="auto"/>
        <w:rPr>
          <w:sz w:val="20"/>
          <w:szCs w:val="20"/>
          <w:color w:val="auto"/>
        </w:rPr>
      </w:pPr>
      <w:r>
        <w:rPr>
          <w:rFonts w:ascii="Times New Roman" w:cs="Times New Roman" w:eastAsia="Times New Roman" w:hAnsi="Times New Roman"/>
          <w:sz w:val="18"/>
          <w:szCs w:val="18"/>
          <w:color w:val="auto"/>
        </w:rPr>
        <w:t xml:space="preserve">Our shares are uncertificated securities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xml:space="preserve"> within the meaning of art. 973c of the CO) and, when administered by a financial intermediary </w:t>
      </w:r>
      <w:r>
        <w:rPr>
          <w:rFonts w:ascii="Times New Roman" w:cs="Times New Roman" w:eastAsia="Times New Roman" w:hAnsi="Times New Roman"/>
          <w:sz w:val="18"/>
          <w:szCs w:val="18"/>
          <w:i w:val="1"/>
          <w:iCs w:val="1"/>
          <w:color w:val="auto"/>
        </w:rPr>
        <w:t xml:space="preserve">(Verwahrungsstelle, </w:t>
      </w:r>
      <w:r>
        <w:rPr>
          <w:rFonts w:ascii="Times New Roman" w:cs="Times New Roman" w:eastAsia="Times New Roman" w:hAnsi="Times New Roman"/>
          <w:sz w:val="18"/>
          <w:szCs w:val="18"/>
          <w:color w:val="auto"/>
        </w:rPr>
        <w:t>within the meaning of the Federal Act on Intermediated Securities, “FISA”), qualify as intermediated securities</w:t>
      </w:r>
      <w:r>
        <w:rPr>
          <w:rFonts w:ascii="Times New Roman" w:cs="Times New Roman" w:eastAsia="Times New Roman" w:hAnsi="Times New Roman"/>
          <w:sz w:val="18"/>
          <w:szCs w:val="18"/>
          <w:i w:val="1"/>
          <w:iCs w:val="1"/>
          <w:color w:val="auto"/>
        </w:rPr>
        <w:t xml:space="preserve"> (Bucheffekten, </w:t>
      </w:r>
      <w:r>
        <w:rPr>
          <w:rFonts w:ascii="Times New Roman" w:cs="Times New Roman" w:eastAsia="Times New Roman" w:hAnsi="Times New Roman"/>
          <w:sz w:val="18"/>
          <w:szCs w:val="18"/>
          <w:color w:val="auto"/>
        </w:rPr>
        <w:t xml:space="preserve">within the meaning of the FISA). In accordance with art. 973c of the CO, we maintain a non-public register of uncertificated securities </w:t>
      </w:r>
      <w:r>
        <w:rPr>
          <w:rFonts w:ascii="Times New Roman" w:cs="Times New Roman" w:eastAsia="Times New Roman" w:hAnsi="Times New Roman"/>
          <w:sz w:val="18"/>
          <w:szCs w:val="18"/>
          <w:i w:val="1"/>
          <w:iCs w:val="1"/>
          <w:color w:val="auto"/>
        </w:rPr>
        <w:t xml:space="preserve">(Wertrechtebuch). </w:t>
      </w:r>
      <w:r>
        <w:rPr>
          <w:rFonts w:ascii="Times New Roman" w:cs="Times New Roman" w:eastAsia="Times New Roman" w:hAnsi="Times New Roman"/>
          <w:sz w:val="18"/>
          <w:szCs w:val="18"/>
          <w:color w:val="auto"/>
        </w:rPr>
        <w:t>We may at any time convert uncertificated securities into share certificates (including global certificates), one kind of certificate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or 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The shareholders exercise their voting rights at the general meetings of shareholders in proportion to the nominal value of the shares belonging to them. The holders of our common shares do not have cumulative voting rights in the election of directors, as cumulative voting is not permitted under Swiss law. The shares are not divisible. The right to vote and the other rights of share ownership may only be exercised by shareholders (including any nominees) or usufructuaries who are entered in our share register at the cut-off date determined by the board of directors and by persons who are entitled by law to the voting right of a share. Each shareholder may be represented by the independent proxy holder (annually elected by the general meeting of shareholders), another registered shareholder or third person with written authorization to act as proxy or the shareholder’s legal representative. The requirements regarding powers of attorney and instructions are determined by the board of directors.</w:t>
      </w:r>
    </w:p>
    <w:p>
      <w:pPr>
        <w:spacing w:after="0" w:line="189" w:lineRule="exact"/>
        <w:rPr>
          <w:sz w:val="20"/>
          <w:szCs w:val="20"/>
          <w:color w:val="auto"/>
        </w:rPr>
      </w:pPr>
    </w:p>
    <w:p>
      <w:pPr>
        <w:ind w:left="200" w:right="40"/>
        <w:spacing w:after="0" w:line="258" w:lineRule="auto"/>
        <w:rPr>
          <w:sz w:val="20"/>
          <w:szCs w:val="20"/>
          <w:color w:val="auto"/>
        </w:rPr>
      </w:pPr>
      <w:r>
        <w:rPr>
          <w:rFonts w:ascii="Times New Roman" w:cs="Times New Roman" w:eastAsia="Times New Roman" w:hAnsi="Times New Roman"/>
          <w:sz w:val="18"/>
          <w:szCs w:val="18"/>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184" w:lineRule="exact"/>
        <w:rPr>
          <w:sz w:val="20"/>
          <w:szCs w:val="20"/>
          <w:color w:val="auto"/>
        </w:rPr>
      </w:pPr>
    </w:p>
    <w:p>
      <w:pPr>
        <w:ind w:left="200" w:right="80"/>
        <w:spacing w:after="0" w:line="256" w:lineRule="auto"/>
        <w:rPr>
          <w:sz w:val="20"/>
          <w:szCs w:val="20"/>
          <w:color w:val="auto"/>
        </w:rPr>
      </w:pPr>
      <w:r>
        <w:rPr>
          <w:rFonts w:ascii="Times New Roman" w:cs="Times New Roman" w:eastAsia="Times New Roman" w:hAnsi="Times New Roman"/>
          <w:sz w:val="18"/>
          <w:szCs w:val="18"/>
          <w:color w:val="auto"/>
        </w:rPr>
        <w:t>Furthermore, with respect to our authorized share capital, the board of directors is authorized to withdraw or limit the preemptive rights of the shareholders and to allot them to third parties 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188"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Our articles contain provisions that persons who do not expressly declare in the registration application that they are holding the shares on their own account (thereafter: nominees) shall forthwith be entered on the share register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as shareholders with voting rights up to a maximum of 3% of the share capital. Beyond that limit, registered shares of nominees shall only be 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We and some of the holders of our common shares have entered into a registration rights agreement. The registration rights provisions of this agreement provide those holders with demand, piggyback and Form S-3 registration rights with respect to the common shares currently held by them.</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19"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18"/>
          <w:szCs w:val="18"/>
          <w:color w:val="auto"/>
        </w:rPr>
        <w:t>The holders of the registrable securities are entitled to certain demand registration rights. The holders of at least two-thirds (66 2/3%) of the registrable securities then outstanding may make a written request that we register all or a portion of their registrable securities, subject to certain specified exceptions. Such request for registration must cover securities the aggregate proceeds of which, after payment of underwriting discounts, commissions and other expenses related to such registration, would exceed $10,000,000. In no event will we be required to effect more than two (2) demand registrations.</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If we propose to register for offer and sale any of our securities under the Securities Act in another offering for cash, either for our own account or for the account of other security holders, the holders of registrable securities will be entitled to certain “piggyback” registration rights allowing them to include their registrable securities in such registration, subject to certain marketing and other limitations. As a result, whenever we propose to file a registration statement under the Securities Act in connection with a public offering for our own account or for the account of any shareholder, the holders of these registrable securities are entitled to notice of the registration and have the right, subject to limitations that the underwriters may impose on the number of shares included in the registration, to include their registrable securities in the registration.</w:t>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Registration on Form S-3</w:t>
      </w:r>
    </w:p>
    <w:p>
      <w:pPr>
        <w:spacing w:after="0" w:line="119"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holders of registrable securities are entitled to certain Form S-3 registration rights. Any holder of registrable securities can make a request that we register for offer and sale all or any portion of their registrable securities on Form S-3 or any similar short form registration statement if we are qualified to file a registration statement on Form S-3, subject to certain specified exceptions. Such request for registration on Form S-3 must cover securities the aggregate offering price of which, before payment of the underwriting discounts and commissions, equals or exceeds $2.0 million. We will not be required to effect more than one (1) registration on Form S-3 within any 12-month period.</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Expenses of Registration</w:t>
      </w:r>
    </w:p>
    <w:p>
      <w:pPr>
        <w:spacing w:after="0" w:line="119" w:lineRule="exact"/>
        <w:rPr>
          <w:sz w:val="20"/>
          <w:szCs w:val="20"/>
          <w:color w:val="auto"/>
        </w:rPr>
      </w:pPr>
    </w:p>
    <w:p>
      <w:pPr>
        <w:ind w:left="200" w:right="260"/>
        <w:spacing w:after="0" w:line="282" w:lineRule="auto"/>
        <w:rPr>
          <w:sz w:val="20"/>
          <w:szCs w:val="20"/>
          <w:color w:val="auto"/>
        </w:rPr>
      </w:pPr>
      <w:r>
        <w:rPr>
          <w:rFonts w:ascii="Times New Roman" w:cs="Times New Roman" w:eastAsia="Times New Roman" w:hAnsi="Times New Roman"/>
          <w:sz w:val="18"/>
          <w:szCs w:val="18"/>
          <w:color w:val="auto"/>
        </w:rPr>
        <w:t>We will pay all expenses relating to any demand, piggyback or Form S-3 registration, other than underwriting discounts and commissions, subject to specified conditions and limitations.</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Termination of Registration Rights</w:t>
      </w:r>
    </w:p>
    <w:p>
      <w:pPr>
        <w:spacing w:after="0" w:line="119" w:lineRule="exact"/>
        <w:rPr>
          <w:sz w:val="20"/>
          <w:szCs w:val="20"/>
          <w:color w:val="auto"/>
        </w:rPr>
      </w:pPr>
    </w:p>
    <w:p>
      <w:pPr>
        <w:jc w:val="both"/>
        <w:ind w:left="200" w:right="220"/>
        <w:spacing w:after="0" w:line="266" w:lineRule="auto"/>
        <w:rPr>
          <w:sz w:val="20"/>
          <w:szCs w:val="20"/>
          <w:color w:val="auto"/>
        </w:rPr>
      </w:pPr>
      <w:r>
        <w:rPr>
          <w:rFonts w:ascii="Times New Roman" w:cs="Times New Roman" w:eastAsia="Times New Roman" w:hAnsi="Times New Roman"/>
          <w:sz w:val="18"/>
          <w:szCs w:val="18"/>
          <w:color w:val="auto"/>
        </w:rPr>
        <w:t>The registration rights granted under the registration rights agreement will terminate upon the fifth anniversary of the completion of our initial public offering, which would be in October 2021, or, if earlier, with respect to a particular holder, at such time as that holder and its affiliates may sell all of their common shares pursuant to Rule 144 under the Securities Act of 1933, as amended, without any restrictions on volume.</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240" w:top="45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COMPARISON OF SWISS LAW AND DELAWARE LAW</w:t>
      </w:r>
    </w:p>
    <w:p>
      <w:pPr>
        <w:spacing w:after="0" w:line="229"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 w:cs="Times New Roman" w:eastAsia="Times New Roman" w:hAnsi="Times New Roman"/>
          <w:sz w:val="18"/>
          <w:szCs w:val="18"/>
          <w:i w:val="1"/>
          <w:iCs w:val="1"/>
          <w:color w:val="auto"/>
        </w:rPr>
        <w:t>(Schweizerisches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Obligationenrecht) </w:t>
      </w:r>
      <w:r>
        <w:rPr>
          <w:rFonts w:ascii="Times New Roman" w:cs="Times New Roman" w:eastAsia="Times New Roman" w:hAnsi="Times New Roman"/>
          <w:sz w:val="18"/>
          <w:szCs w:val="18"/>
          <w:color w:val="auto"/>
        </w:rPr>
        <w:t>and the Swiss Ordinance against excessive compensation in listed stock corporations applicable to our Company, as implemented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11" w:lineRule="exact"/>
        <w:rPr>
          <w:sz w:val="20"/>
          <w:szCs w:val="20"/>
          <w:color w:val="auto"/>
        </w:rPr>
      </w:pPr>
    </w:p>
    <w:p>
      <w:pPr>
        <w:ind w:left="2020"/>
        <w:spacing w:after="0"/>
        <w:tabs>
          <w:tab w:leader="none" w:pos="7800" w:val="left"/>
        </w:tabs>
        <w:rPr>
          <w:sz w:val="20"/>
          <w:szCs w:val="20"/>
          <w:color w:val="auto"/>
        </w:rPr>
      </w:pPr>
      <w:r>
        <w:rPr>
          <w:rFonts w:ascii="Times New Roman" w:cs="Times New Roman" w:eastAsia="Times New Roman" w:hAnsi="Times New Roman"/>
          <w:sz w:val="14"/>
          <w:szCs w:val="14"/>
          <w:u w:val="single" w:color="auto"/>
          <w:color w:val="auto"/>
        </w:rPr>
        <w:t>DELAWARE CORPORATE LAW</w:t>
      </w:r>
      <w:r>
        <w:rPr>
          <w:sz w:val="20"/>
          <w:szCs w:val="20"/>
          <w:color w:val="auto"/>
        </w:rPr>
        <w:tab/>
      </w:r>
      <w:r>
        <w:rPr>
          <w:rFonts w:ascii="Times New Roman" w:cs="Times New Roman" w:eastAsia="Times New Roman" w:hAnsi="Times New Roman"/>
          <w:sz w:val="14"/>
          <w:szCs w:val="14"/>
          <w:u w:val="single" w:color="auto"/>
          <w:color w:val="auto"/>
        </w:rPr>
        <w:t>SWISS CORPORATE LAW</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ectPr>
          <w:pgSz w:w="11900" w:h="16838" w:orient="portrait"/>
          <w:cols w:equalWidth="0" w:num="1">
            <w:col w:w="11220"/>
          </w:cols>
          <w:pgMar w:left="240" w:top="455" w:right="439" w:bottom="1440" w:gutter="0" w:footer="0" w:header="0"/>
        </w:sectPr>
      </w:pPr>
    </w:p>
    <w:p>
      <w:pPr>
        <w:spacing w:after="0" w:line="119" w:lineRule="exact"/>
        <w:rPr>
          <w:sz w:val="20"/>
          <w:szCs w:val="20"/>
          <w:color w:val="auto"/>
        </w:rPr>
      </w:pPr>
    </w:p>
    <w:p>
      <w:pPr>
        <w:ind w:left="200"/>
        <w:spacing w:after="0" w:line="268" w:lineRule="auto"/>
        <w:rPr>
          <w:sz w:val="20"/>
          <w:szCs w:val="20"/>
          <w:color w:val="auto"/>
        </w:rPr>
      </w:pPr>
      <w:r>
        <w:rPr>
          <w:rFonts w:ascii="Times New Roman" w:cs="Times New Roman" w:eastAsia="Times New Roman" w:hAnsi="Times New Roman"/>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share capital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Times New Roman" w:cs="Times New Roman" w:eastAsia="Times New Roman" w:hAnsi="Times New Roman"/>
          <w:sz w:val="18"/>
          <w:szCs w:val="18"/>
          <w:i w:val="1"/>
          <w:iCs w:val="1"/>
          <w:color w:val="auto"/>
        </w:rPr>
        <w:t>(Fusionsgesetz)</w:t>
      </w:r>
      <w:r>
        <w:rPr>
          <w:rFonts w:ascii="Times New Roman" w:cs="Times New Roman" w:eastAsia="Times New Roman" w:hAnsi="Times New Roman"/>
          <w:sz w:val="18"/>
          <w:szCs w:val="18"/>
          <w:color w:val="auto"/>
        </w:rPr>
        <w:t xml:space="preserve">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86" w:lineRule="exact"/>
        <w:rPr>
          <w:sz w:val="20"/>
          <w:szCs w:val="20"/>
          <w:color w:val="auto"/>
        </w:rPr>
      </w:pPr>
    </w:p>
    <w:p>
      <w:pPr>
        <w:sectPr>
          <w:pgSz w:w="11900" w:h="16838" w:orient="portrait"/>
          <w:cols w:equalWidth="0" w:num="2">
            <w:col w:w="5780" w:space="280"/>
            <w:col w:w="5160"/>
          </w:cols>
          <w:pgMar w:left="240" w:top="455" w:right="4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7"/>
          <w:szCs w:val="17"/>
          <w:i w:val="1"/>
          <w:iCs w:val="1"/>
          <w:color w:val="auto"/>
        </w:rPr>
        <w:t>Shareholders’ suits</w:t>
      </w:r>
    </w:p>
    <w:p>
      <w:pPr>
        <w:sectPr>
          <w:pgSz w:w="11900" w:h="16838" w:orient="portrait"/>
          <w:cols w:equalWidth="0" w:num="1">
            <w:col w:w="11220"/>
          </w:cols>
          <w:pgMar w:left="240" w:top="455" w:right="439" w:bottom="1440" w:gutter="0" w:footer="0" w:header="0"/>
          <w:type w:val="continuous"/>
        </w:sectPr>
      </w:pPr>
    </w:p>
    <w:p>
      <w:pPr>
        <w:spacing w:after="0" w:line="131"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Under Swiss law, the winning party is generally entitled to recover or to partially recover attorneys’ fees incurred in connection with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court has broad discretion to permit the shareholder whose claim has been dismissed to recover attorneys’ fees incurred to the extent he or she acted in good faith.</w:t>
      </w:r>
    </w:p>
    <w:p>
      <w:pPr>
        <w:sectPr>
          <w:pgSz w:w="11900" w:h="16838" w:orient="portrait"/>
          <w:cols w:equalWidth="0" w:num="2">
            <w:col w:w="5800" w:space="260"/>
            <w:col w:w="5160"/>
          </w:cols>
          <w:pgMar w:left="240" w:top="455" w:right="4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1740"/>
        <w:spacing w:after="0"/>
        <w:tabs>
          <w:tab w:leader="none" w:pos="1620" w:val="left"/>
        </w:tabs>
        <w:rPr>
          <w:sz w:val="20"/>
          <w:szCs w:val="20"/>
          <w:color w:val="auto"/>
        </w:rPr>
      </w:pPr>
      <w:r>
        <w:rPr>
          <w:rFonts w:ascii="Times New Roman" w:cs="Times New Roman" w:eastAsia="Times New Roman" w:hAnsi="Times New Roman"/>
          <w:sz w:val="14"/>
          <w:szCs w:val="14"/>
          <w:u w:val="single" w:color="auto"/>
          <w:color w:val="auto"/>
        </w:rPr>
        <w:t>DELAWARE CORPORATE LAW</w:t>
      </w:r>
      <w:r>
        <w:rPr>
          <w:sz w:val="20"/>
          <w:szCs w:val="20"/>
          <w:color w:val="auto"/>
        </w:rPr>
        <w:tab/>
      </w:r>
      <w:r>
        <w:rPr>
          <w:rFonts w:ascii="Times New Roman" w:cs="Times New Roman" w:eastAsia="Times New Roman" w:hAnsi="Times New Roman"/>
          <w:sz w:val="14"/>
          <w:szCs w:val="14"/>
          <w:u w:val="single" w:color="auto"/>
          <w:color w:val="auto"/>
        </w:rPr>
        <w:t>SWISS CORPORATE LAW</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Shareholder vote on board and management compensation</w:t>
      </w:r>
    </w:p>
    <w:p>
      <w:pPr>
        <w:sectPr>
          <w:pgSz w:w="11900" w:h="16838" w:orient="portrait"/>
          <w:cols w:equalWidth="0" w:num="1">
            <w:col w:w="11200"/>
          </w:cols>
          <w:pgMar w:left="240" w:top="455" w:right="459" w:bottom="1440" w:gutter="0" w:footer="0" w:header="0"/>
        </w:sectPr>
      </w:pPr>
    </w:p>
    <w:p>
      <w:pPr>
        <w:spacing w:after="0" w:line="119"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Swiss Ordinance against excessive compensation in listed stock corporations </w:t>
      </w:r>
      <w:r>
        <w:rPr>
          <w:rFonts w:ascii="Times New Roman" w:cs="Times New Roman" w:eastAsia="Times New Roman" w:hAnsi="Times New Roman"/>
          <w:sz w:val="18"/>
          <w:szCs w:val="18"/>
          <w:i w:val="1"/>
          <w:iCs w:val="1"/>
          <w:color w:val="auto"/>
        </w:rPr>
        <w:t>(Verordnung gegen übermässige Vergütungen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bei börsenkotierten Aktiengesellschaften), </w:t>
      </w:r>
      <w:r>
        <w:rPr>
          <w:rFonts w:ascii="Times New Roman" w:cs="Times New Roman" w:eastAsia="Times New Roman" w:hAnsi="Times New Roman"/>
          <w:sz w:val="18"/>
          <w:szCs w:val="18"/>
          <w:color w:val="auto"/>
        </w:rPr>
        <w:t>the general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has the non-transferable right, amongst others, to vote on the fixed and on the variable compensation of the members of the board of directors, of the executive management and of the advisory boards.</w:t>
      </w:r>
    </w:p>
    <w:p>
      <w:pPr>
        <w:spacing w:after="0" w:line="79" w:lineRule="exact"/>
        <w:rPr>
          <w:sz w:val="20"/>
          <w:szCs w:val="20"/>
          <w:color w:val="auto"/>
        </w:rPr>
      </w:pPr>
    </w:p>
    <w:p>
      <w:pPr>
        <w:sectPr>
          <w:pgSz w:w="11900" w:h="16838" w:orient="portrait"/>
          <w:cols w:equalWidth="0" w:num="2">
            <w:col w:w="5720" w:space="34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Annual vote on board renewal</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397" w:lineRule="exact"/>
        <w:rPr>
          <w:sz w:val="20"/>
          <w:szCs w:val="20"/>
          <w:color w:val="auto"/>
        </w:rPr>
      </w:pPr>
    </w:p>
    <w:p>
      <w:pPr>
        <w:sectPr>
          <w:pgSz w:w="11900" w:h="16838" w:orient="portrait"/>
          <w:cols w:equalWidth="0" w:num="2">
            <w:col w:w="5660" w:space="40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Indemnification of directors and executive management and limitation of liability</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3" w:lineRule="exact"/>
        <w:rPr>
          <w:sz w:val="20"/>
          <w:szCs w:val="20"/>
          <w:color w:val="auto"/>
        </w:rPr>
      </w:pPr>
    </w:p>
    <w:p>
      <w:pPr>
        <w:ind w:left="380" w:right="780" w:hanging="176"/>
        <w:spacing w:after="0" w:line="282" w:lineRule="auto"/>
        <w:tabs>
          <w:tab w:leader="none" w:pos="3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 director’s duty of loyalty to the corporation or its shareholders;</w:t>
      </w:r>
    </w:p>
    <w:p>
      <w:pPr>
        <w:spacing w:after="0" w:line="67" w:lineRule="exact"/>
        <w:rPr>
          <w:rFonts w:ascii="Times New Roman" w:cs="Times New Roman" w:eastAsia="Times New Roman" w:hAnsi="Times New Roman"/>
          <w:sz w:val="18"/>
          <w:szCs w:val="18"/>
          <w:color w:val="auto"/>
        </w:rPr>
      </w:pPr>
    </w:p>
    <w:p>
      <w:pPr>
        <w:ind w:left="380" w:right="20" w:hanging="176"/>
        <w:spacing w:after="0" w:line="282" w:lineRule="auto"/>
        <w:tabs>
          <w:tab w:leader="none" w:pos="3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67" w:lineRule="exact"/>
        <w:rPr>
          <w:rFonts w:ascii="Times New Roman" w:cs="Times New Roman" w:eastAsia="Times New Roman" w:hAnsi="Times New Roman"/>
          <w:sz w:val="18"/>
          <w:szCs w:val="18"/>
          <w:color w:val="auto"/>
        </w:rPr>
      </w:pPr>
    </w:p>
    <w:p>
      <w:pPr>
        <w:ind w:left="380" w:right="360" w:hanging="176"/>
        <w:spacing w:after="0" w:line="282" w:lineRule="auto"/>
        <w:tabs>
          <w:tab w:leader="none" w:pos="3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liability for unlawful payment of dividends or unlawful stock purchase or redemption; or</w:t>
      </w:r>
    </w:p>
    <w:p>
      <w:pPr>
        <w:spacing w:after="0" w:line="67" w:lineRule="exact"/>
        <w:rPr>
          <w:rFonts w:ascii="Times New Roman" w:cs="Times New Roman" w:eastAsia="Times New Roman" w:hAnsi="Times New Roman"/>
          <w:sz w:val="18"/>
          <w:szCs w:val="18"/>
          <w:color w:val="auto"/>
        </w:rPr>
      </w:pPr>
    </w:p>
    <w:p>
      <w:pPr>
        <w:ind w:left="380" w:right="440" w:hanging="176"/>
        <w:spacing w:after="0" w:line="282" w:lineRule="auto"/>
        <w:tabs>
          <w:tab w:leader="none" w:pos="3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6" w:lineRule="exact"/>
        <w:rPr>
          <w:sz w:val="20"/>
          <w:szCs w:val="20"/>
          <w:color w:val="auto"/>
        </w:rPr>
      </w:pPr>
    </w:p>
    <w:p>
      <w:pPr>
        <w:jc w:val="both"/>
        <w:ind w:left="200" w:right="60"/>
        <w:spacing w:after="0" w:line="266"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w:t>
      </w:r>
    </w:p>
    <w:p>
      <w:pPr>
        <w:spacing w:after="0" w:line="1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87"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The articles of association of a Swiss corporation may also set forth that the corporation shall indemnify and hold harmless, to the extent permitted by the law, the directors and executive managers out</w:t>
      </w:r>
    </w:p>
    <w:p>
      <w:pPr>
        <w:sectPr>
          <w:pgSz w:w="11900" w:h="16838" w:orient="portrait"/>
          <w:cols w:equalWidth="0" w:num="2">
            <w:col w:w="5820" w:space="240"/>
            <w:col w:w="5140"/>
          </w:cols>
          <w:pgMar w:left="240" w:top="455" w:right="45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1720"/>
        <w:spacing w:after="0"/>
        <w:tabs>
          <w:tab w:leader="none" w:pos="1620" w:val="left"/>
        </w:tabs>
        <w:rPr>
          <w:sz w:val="20"/>
          <w:szCs w:val="20"/>
          <w:color w:val="auto"/>
        </w:rPr>
      </w:pPr>
      <w:r>
        <w:rPr>
          <w:rFonts w:ascii="Times New Roman" w:cs="Times New Roman" w:eastAsia="Times New Roman" w:hAnsi="Times New Roman"/>
          <w:sz w:val="14"/>
          <w:szCs w:val="14"/>
          <w:u w:val="single" w:color="auto"/>
          <w:color w:val="auto"/>
        </w:rPr>
        <w:t>DELAWARE CORPORATE LAW</w:t>
      </w:r>
      <w:r>
        <w:rPr>
          <w:sz w:val="20"/>
          <w:szCs w:val="20"/>
          <w:color w:val="auto"/>
        </w:rPr>
        <w:tab/>
      </w:r>
      <w:r>
        <w:rPr>
          <w:rFonts w:ascii="Times New Roman" w:cs="Times New Roman" w:eastAsia="Times New Roman" w:hAnsi="Times New Roman"/>
          <w:sz w:val="14"/>
          <w:szCs w:val="14"/>
          <w:u w:val="single" w:color="auto"/>
          <w:color w:val="auto"/>
        </w:rPr>
        <w:t>SWISS CORPORATE LAW</w:t>
      </w:r>
    </w:p>
    <w:p>
      <w:pPr>
        <w:sectPr>
          <w:pgSz w:w="11900" w:h="16838" w:orient="portrait"/>
          <w:cols w:equalWidth="0" w:num="1">
            <w:col w:w="11180"/>
          </w:cols>
          <w:pgMar w:left="240" w:top="455" w:right="479" w:bottom="1440" w:gutter="0" w:footer="0" w:header="0"/>
        </w:sectPr>
      </w:pPr>
    </w:p>
    <w:p>
      <w:pPr>
        <w:spacing w:after="0" w:line="25"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82" w:lineRule="exact"/>
        <w:rPr>
          <w:sz w:val="20"/>
          <w:szCs w:val="20"/>
          <w:color w:val="auto"/>
        </w:rPr>
      </w:pPr>
    </w:p>
    <w:p>
      <w:pPr>
        <w:ind w:left="200" w:right="160"/>
        <w:spacing w:after="0" w:line="266" w:lineRule="auto"/>
        <w:rPr>
          <w:sz w:val="20"/>
          <w:szCs w:val="20"/>
          <w:color w:val="auto"/>
        </w:rPr>
      </w:pPr>
      <w:r>
        <w:rPr>
          <w:rFonts w:ascii="Times New Roman" w:cs="Times New Roman" w:eastAsia="Times New Roman" w:hAnsi="Times New Roman"/>
          <w:sz w:val="18"/>
          <w:szCs w:val="18"/>
          <w:color w:val="auto"/>
        </w:rPr>
        <w:t>Unless ordered by a court, any foregoing indemnification is subject to a determination that the director or officer has met the applicable standard of conduct:</w:t>
      </w:r>
    </w:p>
    <w:p>
      <w:pPr>
        <w:spacing w:after="0" w:line="82" w:lineRule="exact"/>
        <w:rPr>
          <w:sz w:val="20"/>
          <w:szCs w:val="20"/>
          <w:color w:val="auto"/>
        </w:rPr>
      </w:pPr>
    </w:p>
    <w:p>
      <w:pPr>
        <w:ind w:left="380" w:right="180" w:hanging="176"/>
        <w:spacing w:after="0" w:line="282" w:lineRule="auto"/>
        <w:tabs>
          <w:tab w:leader="none" w:pos="3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spacing w:after="0" w:line="67" w:lineRule="exact"/>
        <w:rPr>
          <w:rFonts w:ascii="Times New Roman" w:cs="Times New Roman" w:eastAsia="Times New Roman" w:hAnsi="Times New Roman"/>
          <w:sz w:val="18"/>
          <w:szCs w:val="18"/>
          <w:color w:val="auto"/>
        </w:rPr>
      </w:pPr>
    </w:p>
    <w:p>
      <w:pPr>
        <w:ind w:left="380" w:right="200" w:hanging="176"/>
        <w:spacing w:after="0" w:line="282" w:lineRule="auto"/>
        <w:tabs>
          <w:tab w:leader="none" w:pos="3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spacing w:after="0" w:line="67" w:lineRule="exact"/>
        <w:rPr>
          <w:rFonts w:ascii="Times New Roman" w:cs="Times New Roman" w:eastAsia="Times New Roman" w:hAnsi="Times New Roman"/>
          <w:sz w:val="18"/>
          <w:szCs w:val="18"/>
          <w:color w:val="auto"/>
        </w:rPr>
      </w:pPr>
    </w:p>
    <w:p>
      <w:pPr>
        <w:ind w:left="380" w:right="200" w:hanging="176"/>
        <w:spacing w:after="0" w:line="282" w:lineRule="auto"/>
        <w:tabs>
          <w:tab w:leader="none" w:pos="3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if there are no eligible directors, or if the eligible directors so direct; or</w:t>
      </w:r>
    </w:p>
    <w:p>
      <w:pPr>
        <w:spacing w:after="0" w:line="67" w:lineRule="exact"/>
        <w:rPr>
          <w:rFonts w:ascii="Times New Roman" w:cs="Times New Roman" w:eastAsia="Times New Roman" w:hAnsi="Times New Roman"/>
          <w:sz w:val="18"/>
          <w:szCs w:val="18"/>
          <w:color w:val="auto"/>
        </w:rPr>
      </w:pPr>
    </w:p>
    <w:p>
      <w:pPr>
        <w:ind w:left="360" w:hanging="156"/>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131" w:lineRule="exact"/>
        <w:rPr>
          <w:sz w:val="20"/>
          <w:szCs w:val="20"/>
          <w:color w:val="auto"/>
        </w:rPr>
      </w:pPr>
    </w:p>
    <w:p>
      <w:pPr>
        <w:ind w:left="200" w:right="20"/>
        <w:spacing w:after="0" w:line="256" w:lineRule="auto"/>
        <w:rPr>
          <w:sz w:val="20"/>
          <w:szCs w:val="20"/>
          <w:color w:val="auto"/>
        </w:rPr>
      </w:pPr>
      <w:r>
        <w:rPr>
          <w:rFonts w:ascii="Times New Roman" w:cs="Times New Roman" w:eastAsia="Times New Roman" w:hAnsi="Times New Roman"/>
          <w:sz w:val="18"/>
          <w:szCs w:val="18"/>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of assets of the corporation against threatened, pending or completed actions.</w:t>
      </w:r>
    </w:p>
    <w:p>
      <w:pPr>
        <w:spacing w:after="0" w:line="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pacing w:after="0" w:line="4319" w:lineRule="exact"/>
        <w:rPr>
          <w:sz w:val="20"/>
          <w:szCs w:val="20"/>
          <w:color w:val="auto"/>
        </w:rPr>
      </w:pPr>
    </w:p>
    <w:p>
      <w:pPr>
        <w:sectPr>
          <w:pgSz w:w="11900" w:h="16838" w:orient="portrait"/>
          <w:cols w:equalWidth="0" w:num="2">
            <w:col w:w="5760" w:space="300"/>
            <w:col w:w="5120"/>
          </w:cols>
          <w:pgMar w:left="240" w:top="455" w:right="47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7"/>
          <w:szCs w:val="17"/>
          <w:i w:val="1"/>
          <w:iCs w:val="1"/>
          <w:color w:val="auto"/>
        </w:rPr>
        <w:t>Directors’ fiduciary duties</w:t>
      </w:r>
    </w:p>
    <w:p>
      <w:pPr>
        <w:sectPr>
          <w:pgSz w:w="11900" w:h="16838" w:orient="portrait"/>
          <w:cols w:equalWidth="0" w:num="1">
            <w:col w:w="11180"/>
          </w:cols>
          <w:pgMar w:left="240" w:top="455" w:right="479" w:bottom="1440" w:gutter="0" w:footer="0" w:header="0"/>
          <w:type w:val="continuous"/>
        </w:sectPr>
      </w:pPr>
    </w:p>
    <w:p>
      <w:pPr>
        <w:spacing w:after="0" w:line="131" w:lineRule="exact"/>
        <w:rPr>
          <w:sz w:val="20"/>
          <w:szCs w:val="20"/>
          <w:color w:val="auto"/>
        </w:rPr>
      </w:pPr>
    </w:p>
    <w:p>
      <w:pPr>
        <w:ind w:left="200" w:right="16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67" w:lineRule="exact"/>
        <w:rPr>
          <w:sz w:val="20"/>
          <w:szCs w:val="20"/>
          <w:color w:val="auto"/>
        </w:rPr>
      </w:pPr>
    </w:p>
    <w:p>
      <w:pPr>
        <w:ind w:left="360" w:hanging="156"/>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130" w:lineRule="exact"/>
        <w:rPr>
          <w:rFonts w:ascii="Times New Roman" w:cs="Times New Roman" w:eastAsia="Times New Roman" w:hAnsi="Times New Roman"/>
          <w:sz w:val="18"/>
          <w:szCs w:val="18"/>
          <w:color w:val="auto"/>
        </w:rPr>
      </w:pPr>
    </w:p>
    <w:p>
      <w:pPr>
        <w:ind w:left="360" w:hanging="156"/>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131"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3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89" w:lineRule="exact"/>
        <w:rPr>
          <w:sz w:val="20"/>
          <w:szCs w:val="20"/>
          <w:color w:val="auto"/>
        </w:rPr>
      </w:pPr>
    </w:p>
    <w:p>
      <w:pPr>
        <w:ind w:left="188" w:right="360" w:hanging="188"/>
        <w:spacing w:after="0" w:line="282" w:lineRule="auto"/>
        <w:tabs>
          <w:tab w:leader="none" w:pos="1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67" w:lineRule="exact"/>
        <w:rPr>
          <w:rFonts w:ascii="Times New Roman" w:cs="Times New Roman" w:eastAsia="Times New Roman" w:hAnsi="Times New Roman"/>
          <w:sz w:val="18"/>
          <w:szCs w:val="18"/>
          <w:color w:val="auto"/>
        </w:rPr>
      </w:pPr>
    </w:p>
    <w:p>
      <w:pPr>
        <w:ind w:left="168" w:hanging="168"/>
        <w:spacing w:after="0"/>
        <w:tabs>
          <w:tab w:leader="none" w:pos="1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corporation’s organization;</w:t>
      </w:r>
    </w:p>
    <w:p>
      <w:pPr>
        <w:spacing w:after="0" w:line="130" w:lineRule="exact"/>
        <w:rPr>
          <w:rFonts w:ascii="Times New Roman" w:cs="Times New Roman" w:eastAsia="Times New Roman" w:hAnsi="Times New Roman"/>
          <w:sz w:val="18"/>
          <w:szCs w:val="18"/>
          <w:color w:val="auto"/>
        </w:rPr>
      </w:pPr>
    </w:p>
    <w:p>
      <w:pPr>
        <w:ind w:left="188" w:hanging="188"/>
        <w:spacing w:after="0" w:line="313" w:lineRule="auto"/>
        <w:tabs>
          <w:tab w:leader="none" w:pos="17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organization of the accounting, financial control and financial planning systems as required for the management of the corporation;</w:t>
      </w:r>
    </w:p>
    <w:p>
      <w:pPr>
        <w:sectPr>
          <w:pgSz w:w="11900" w:h="16838" w:orient="portrait"/>
          <w:cols w:equalWidth="0" w:num="2">
            <w:col w:w="5820" w:space="232"/>
            <w:col w:w="5128"/>
          </w:cols>
          <w:pgMar w:left="240" w:top="455" w:right="479" w:bottom="1440" w:gutter="0" w:footer="0" w:header="0"/>
          <w:type w:val="continuous"/>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00"/>
          </w:cols>
          <w:pgMar w:left="240" w:top="455" w:right="459" w:bottom="1440" w:gutter="0" w:footer="0" w:header="0"/>
        </w:sectPr>
      </w:pPr>
    </w:p>
    <w:p>
      <w:pPr>
        <w:spacing w:after="0" w:line="3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u w:val="single" w:color="auto"/>
          <w:color w:val="auto"/>
        </w:rPr>
        <w:t>DELAWARE CORPORATE LAW</w:t>
      </w:r>
    </w:p>
    <w:p>
      <w:pPr>
        <w:spacing w:after="0" w:line="114"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85"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768"/>
        <w:spacing w:after="0"/>
        <w:rPr>
          <w:sz w:val="20"/>
          <w:szCs w:val="20"/>
          <w:color w:val="auto"/>
        </w:rPr>
      </w:pPr>
      <w:r>
        <w:rPr>
          <w:rFonts w:ascii="Times New Roman" w:cs="Times New Roman" w:eastAsia="Times New Roman" w:hAnsi="Times New Roman"/>
          <w:sz w:val="14"/>
          <w:szCs w:val="14"/>
          <w:u w:val="single" w:color="auto"/>
          <w:color w:val="auto"/>
        </w:rPr>
        <w:t>SWISS CORPORATE LAW</w:t>
      </w:r>
    </w:p>
    <w:p>
      <w:pPr>
        <w:spacing w:after="0" w:line="114" w:lineRule="exact"/>
        <w:rPr>
          <w:sz w:val="20"/>
          <w:szCs w:val="20"/>
          <w:color w:val="auto"/>
        </w:rPr>
      </w:pPr>
    </w:p>
    <w:p>
      <w:pPr>
        <w:ind w:left="188" w:right="180" w:hanging="188"/>
        <w:spacing w:after="0" w:line="282" w:lineRule="auto"/>
        <w:tabs>
          <w:tab w:leader="none" w:pos="1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67" w:lineRule="exact"/>
        <w:rPr>
          <w:rFonts w:ascii="Times New Roman" w:cs="Times New Roman" w:eastAsia="Times New Roman" w:hAnsi="Times New Roman"/>
          <w:sz w:val="18"/>
          <w:szCs w:val="18"/>
          <w:color w:val="auto"/>
        </w:rPr>
      </w:pPr>
    </w:p>
    <w:p>
      <w:pPr>
        <w:ind w:left="188" w:right="280" w:hanging="188"/>
        <w:spacing w:after="0" w:line="289" w:lineRule="auto"/>
        <w:tabs>
          <w:tab w:leader="none" w:pos="17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supervision of the persons entrusted with managing the corporation, in particular with regard to compliance with the law, articles of association, operational regulations and directives;</w:t>
      </w:r>
    </w:p>
    <w:p>
      <w:pPr>
        <w:spacing w:after="0" w:line="63" w:lineRule="exact"/>
        <w:rPr>
          <w:rFonts w:ascii="Times New Roman" w:cs="Times New Roman" w:eastAsia="Times New Roman" w:hAnsi="Times New Roman"/>
          <w:sz w:val="17"/>
          <w:szCs w:val="17"/>
          <w:color w:val="auto"/>
        </w:rPr>
      </w:pPr>
    </w:p>
    <w:p>
      <w:pPr>
        <w:ind w:left="188" w:hanging="188"/>
        <w:spacing w:after="0" w:line="313" w:lineRule="auto"/>
        <w:tabs>
          <w:tab w:leader="none" w:pos="17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compilation of the annual report, preparation for the general meeting, the compensation report and implementation of its resolutions; and</w:t>
      </w:r>
    </w:p>
    <w:p>
      <w:pPr>
        <w:spacing w:after="0" w:line="43" w:lineRule="exact"/>
        <w:rPr>
          <w:rFonts w:ascii="Times New Roman" w:cs="Times New Roman" w:eastAsia="Times New Roman" w:hAnsi="Times New Roman"/>
          <w:sz w:val="17"/>
          <w:szCs w:val="17"/>
          <w:color w:val="auto"/>
        </w:rPr>
      </w:pPr>
    </w:p>
    <w:p>
      <w:pPr>
        <w:ind w:left="188" w:right="520" w:hanging="188"/>
        <w:spacing w:after="0" w:line="282" w:lineRule="auto"/>
        <w:tabs>
          <w:tab w:leader="none" w:pos="1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121" w:lineRule="exact"/>
        <w:rPr>
          <w:sz w:val="20"/>
          <w:szCs w:val="20"/>
          <w:color w:val="auto"/>
        </w:rPr>
      </w:pPr>
    </w:p>
    <w:p>
      <w:pPr>
        <w:ind w:left="8" w:right="80"/>
        <w:spacing w:after="0" w:line="261" w:lineRule="auto"/>
        <w:rPr>
          <w:sz w:val="20"/>
          <w:szCs w:val="20"/>
          <w:color w:val="auto"/>
        </w:rPr>
      </w:pPr>
      <w:r>
        <w:rPr>
          <w:rFonts w:ascii="Times New Roman" w:cs="Times New Roman" w:eastAsia="Times New Roman" w:hAnsi="Times New Roman"/>
          <w:sz w:val="18"/>
          <w:szCs w:val="18"/>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86" w:lineRule="exact"/>
        <w:rPr>
          <w:sz w:val="20"/>
          <w:szCs w:val="20"/>
          <w:color w:val="auto"/>
        </w:rPr>
      </w:pPr>
    </w:p>
    <w:p>
      <w:pPr>
        <w:ind w:left="8" w:right="60"/>
        <w:spacing w:after="0" w:line="313" w:lineRule="auto"/>
        <w:rPr>
          <w:sz w:val="20"/>
          <w:szCs w:val="20"/>
          <w:color w:val="auto"/>
        </w:rPr>
      </w:pPr>
      <w:r>
        <w:rPr>
          <w:rFonts w:ascii="Times New Roman" w:cs="Times New Roman" w:eastAsia="Times New Roman" w:hAnsi="Times New Roman"/>
          <w:sz w:val="17"/>
          <w:szCs w:val="17"/>
          <w:color w:val="auto"/>
        </w:rPr>
        <w:t>The burden of proof for a violation of these duties is with the corporation or with the shareholder bringing a suit against the director.</w:t>
      </w:r>
    </w:p>
    <w:p>
      <w:pPr>
        <w:spacing w:after="0" w:line="42" w:lineRule="exact"/>
        <w:rPr>
          <w:sz w:val="20"/>
          <w:szCs w:val="20"/>
          <w:color w:val="auto"/>
        </w:rPr>
      </w:pPr>
    </w:p>
    <w:p>
      <w:pPr>
        <w:sectPr>
          <w:pgSz w:w="11900" w:h="16838" w:orient="portrait"/>
          <w:cols w:equalWidth="0" w:num="2">
            <w:col w:w="5840" w:space="212"/>
            <w:col w:w="5148"/>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Shareholder action by written consent</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78" w:lineRule="exact"/>
        <w:rPr>
          <w:sz w:val="20"/>
          <w:szCs w:val="20"/>
          <w:color w:val="auto"/>
        </w:rPr>
      </w:pPr>
    </w:p>
    <w:p>
      <w:pPr>
        <w:sectPr>
          <w:pgSz w:w="11900" w:h="16838" w:orient="portrait"/>
          <w:cols w:equalWidth="0" w:num="2">
            <w:col w:w="5740" w:space="32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Shareholder proposals</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right="120"/>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89" w:lineRule="exact"/>
        <w:rPr>
          <w:sz w:val="20"/>
          <w:szCs w:val="20"/>
          <w:color w:val="auto"/>
        </w:rPr>
      </w:pPr>
    </w:p>
    <w:p>
      <w:pPr>
        <w:ind w:left="188" w:right="180" w:hanging="188"/>
        <w:spacing w:after="0" w:line="266" w:lineRule="auto"/>
        <w:tabs>
          <w:tab w:leader="none" w:pos="1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at least 10% of the share capital may demand that a general meeting of shareholders be called for specific agenda items and specific proposals; and</w:t>
      </w:r>
    </w:p>
    <w:p>
      <w:pPr>
        <w:spacing w:after="0" w:line="81" w:lineRule="exact"/>
        <w:rPr>
          <w:rFonts w:ascii="Times New Roman" w:cs="Times New Roman" w:eastAsia="Times New Roman" w:hAnsi="Times New Roman"/>
          <w:sz w:val="18"/>
          <w:szCs w:val="18"/>
          <w:color w:val="auto"/>
        </w:rPr>
      </w:pPr>
    </w:p>
    <w:p>
      <w:pPr>
        <w:ind w:left="188" w:right="20" w:hanging="188"/>
        <w:spacing w:after="0" w:line="258" w:lineRule="auto"/>
        <w:tabs>
          <w:tab w:leader="none" w:pos="1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ectPr>
          <w:pgSz w:w="11900" w:h="16838" w:orient="portrait"/>
          <w:cols w:equalWidth="0" w:num="2">
            <w:col w:w="5840" w:space="212"/>
            <w:col w:w="5148"/>
          </w:cols>
          <w:pgMar w:left="240" w:top="455" w:right="45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020"/>
        <w:spacing w:after="0"/>
        <w:tabs>
          <w:tab w:leader="none" w:pos="7800" w:val="left"/>
        </w:tabs>
        <w:rPr>
          <w:sz w:val="20"/>
          <w:szCs w:val="20"/>
          <w:color w:val="auto"/>
        </w:rPr>
      </w:pPr>
      <w:r>
        <w:rPr>
          <w:rFonts w:ascii="Times New Roman" w:cs="Times New Roman" w:eastAsia="Times New Roman" w:hAnsi="Times New Roman"/>
          <w:sz w:val="14"/>
          <w:szCs w:val="14"/>
          <w:u w:val="single" w:color="auto"/>
          <w:color w:val="auto"/>
        </w:rPr>
        <w:t>DELAWARE CORPORATE LAW</w:t>
      </w:r>
      <w:r>
        <w:rPr>
          <w:sz w:val="20"/>
          <w:szCs w:val="20"/>
          <w:color w:val="auto"/>
        </w:rPr>
        <w:tab/>
      </w:r>
      <w:r>
        <w:rPr>
          <w:rFonts w:ascii="Times New Roman" w:cs="Times New Roman" w:eastAsia="Times New Roman" w:hAnsi="Times New Roman"/>
          <w:sz w:val="14"/>
          <w:szCs w:val="14"/>
          <w:u w:val="single" w:color="auto"/>
          <w:color w:val="auto"/>
        </w:rPr>
        <w:t>SWISS CORPORATE LAW</w:t>
      </w:r>
    </w:p>
    <w:p>
      <w:pPr>
        <w:spacing w:after="0" w:line="1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Any shareholder can propose candidates for election as directors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provided that the election of board members and the names of 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candidates have been included as an agenda item.</w:t>
      </w:r>
    </w:p>
    <w:p>
      <w:pPr>
        <w:spacing w:after="0" w:line="1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 addition, any shareholder is entitled, at a general meeting of</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shareholders and without advance notice, to (i) request information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from the board on the affairs of the company (note, however, that 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right to obtain such information is limited), (ii) request information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from the auditors on the methods and results of their audit, (iii) request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to convene an extraordinary general meeting or (iv) request to carry out</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 special audit and to appoint a special auditor.</w:t>
      </w:r>
    </w:p>
    <w:p>
      <w:pPr>
        <w:spacing w:after="0" w:line="1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ectPr>
          <w:pgSz w:w="11900" w:h="16838" w:orient="portrait"/>
          <w:cols w:equalWidth="0" w:num="1">
            <w:col w:w="11200"/>
          </w:cols>
          <w:pgMar w:left="240" w:top="455" w:right="459" w:bottom="1440" w:gutter="0" w:footer="0" w:header="0"/>
        </w:sectPr>
      </w:pPr>
    </w:p>
    <w:p>
      <w:pPr>
        <w:spacing w:after="0" w:line="119"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management as well as for the members of the advisory board, if applicable, is mandatory for listed companies. Re-election is permitted.</w:t>
      </w:r>
    </w:p>
    <w:p>
      <w:pPr>
        <w:spacing w:after="0" w:line="81" w:lineRule="exact"/>
        <w:rPr>
          <w:sz w:val="20"/>
          <w:szCs w:val="20"/>
          <w:color w:val="auto"/>
        </w:rPr>
      </w:pPr>
    </w:p>
    <w:p>
      <w:pPr>
        <w:sectPr>
          <w:pgSz w:w="11900" w:h="16838" w:orient="portrait"/>
          <w:cols w:equalWidth="0" w:num="2">
            <w:col w:w="5600" w:space="46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Removal of directors</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 simple majority of the shares represented at a general meeting of shareholders. The articles of association may require the approval by a qualified majority of the shares represented at a meeting for the removal of a director.</w:t>
      </w:r>
    </w:p>
    <w:p>
      <w:pPr>
        <w:spacing w:after="0" w:line="74" w:lineRule="exact"/>
        <w:rPr>
          <w:sz w:val="20"/>
          <w:szCs w:val="20"/>
          <w:color w:val="auto"/>
        </w:rPr>
      </w:pPr>
    </w:p>
    <w:p>
      <w:pPr>
        <w:sectPr>
          <w:pgSz w:w="11900" w:h="16838" w:orient="portrait"/>
          <w:cols w:equalWidth="0" w:num="2">
            <w:col w:w="5500" w:space="56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Transactions with interested shareholders</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color w:val="auto"/>
        </w:rPr>
        <w:t>No such rule applies to a Swiss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2">
            <w:col w:w="5620" w:space="0"/>
            <w:col w:w="5580"/>
          </w:cols>
          <w:pgMar w:left="240" w:top="455" w:right="45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1740"/>
        <w:spacing w:after="0"/>
        <w:tabs>
          <w:tab w:leader="none" w:pos="1620" w:val="left"/>
        </w:tabs>
        <w:rPr>
          <w:sz w:val="20"/>
          <w:szCs w:val="20"/>
          <w:color w:val="auto"/>
        </w:rPr>
      </w:pPr>
      <w:r>
        <w:rPr>
          <w:rFonts w:ascii="Times New Roman" w:cs="Times New Roman" w:eastAsia="Times New Roman" w:hAnsi="Times New Roman"/>
          <w:sz w:val="14"/>
          <w:szCs w:val="14"/>
          <w:u w:val="single" w:color="auto"/>
          <w:color w:val="auto"/>
        </w:rPr>
        <w:t>DELAWARE CORPORATE LAW</w:t>
      </w:r>
      <w:r>
        <w:rPr>
          <w:sz w:val="20"/>
          <w:szCs w:val="20"/>
          <w:color w:val="auto"/>
        </w:rPr>
        <w:tab/>
      </w:r>
      <w:r>
        <w:rPr>
          <w:rFonts w:ascii="Times New Roman" w:cs="Times New Roman" w:eastAsia="Times New Roman" w:hAnsi="Times New Roman"/>
          <w:sz w:val="14"/>
          <w:szCs w:val="14"/>
          <w:u w:val="single" w:color="auto"/>
          <w:color w:val="auto"/>
        </w:rPr>
        <w:t>SWISS CORPORATE LAW</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ectPr>
          <w:pgSz w:w="11900" w:h="16838" w:orient="portrait"/>
          <w:cols w:equalWidth="0" w:num="1">
            <w:col w:w="11200"/>
          </w:cols>
          <w:pgMar w:left="240" w:top="455" w:right="459" w:bottom="1440" w:gutter="0" w:footer="0" w:header="0"/>
        </w:sectPr>
      </w:pPr>
    </w:p>
    <w:p>
      <w:pPr>
        <w:spacing w:after="0" w:line="119"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voting rights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293" w:lineRule="exact"/>
        <w:rPr>
          <w:sz w:val="20"/>
          <w:szCs w:val="20"/>
          <w:color w:val="auto"/>
        </w:rPr>
      </w:pPr>
    </w:p>
    <w:p>
      <w:pPr>
        <w:sectPr>
          <w:pgSz w:w="11900" w:h="16838" w:orient="portrait"/>
          <w:cols w:equalWidth="0" w:num="2">
            <w:col w:w="5780" w:space="28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Variation of rights of shares</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with preferential voting rights are not regarded a special class for these purposes.</w:t>
      </w:r>
    </w:p>
    <w:p>
      <w:pPr>
        <w:spacing w:after="0" w:line="65" w:lineRule="exact"/>
        <w:rPr>
          <w:sz w:val="20"/>
          <w:szCs w:val="20"/>
          <w:color w:val="auto"/>
        </w:rPr>
      </w:pPr>
    </w:p>
    <w:p>
      <w:pPr>
        <w:sectPr>
          <w:pgSz w:w="11900" w:h="16838" w:orient="portrait"/>
          <w:cols w:equalWidth="0" w:num="2">
            <w:col w:w="5420" w:space="64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Amendment of governing documents</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simple majority of the shares represented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voting rights represented and an absolute majority of the nominal value of the shares represented at a shareholders’ meeting. The articles of association may increase the voting thresholds.</w:t>
      </w:r>
    </w:p>
    <w:p>
      <w:pPr>
        <w:spacing w:after="0" w:line="76" w:lineRule="exact"/>
        <w:rPr>
          <w:sz w:val="20"/>
          <w:szCs w:val="20"/>
          <w:color w:val="auto"/>
        </w:rPr>
      </w:pPr>
    </w:p>
    <w:p>
      <w:pPr>
        <w:sectPr>
          <w:pgSz w:w="11900" w:h="16838" w:orient="portrait"/>
          <w:cols w:equalWidth="0" w:num="2">
            <w:col w:w="5580" w:space="48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Inspection of books and records</w:t>
      </w:r>
    </w:p>
    <w:p>
      <w:pPr>
        <w:sectPr>
          <w:pgSz w:w="11900" w:h="16838" w:orient="portrait"/>
          <w:cols w:equalWidth="0" w:num="1">
            <w:col w:w="11200"/>
          </w:cols>
          <w:pgMar w:left="240" w:top="455" w:right="459" w:bottom="1440" w:gutter="0" w:footer="0" w:header="0"/>
          <w:type w:val="continuous"/>
        </w:sectPr>
      </w:pPr>
    </w:p>
    <w:p>
      <w:pPr>
        <w:spacing w:after="0" w:line="131"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Shareholders of a Swiss corporation may only inspect books and records if the general meeting of shareholders or the board of directors approved such inspection. The information may be refused where</w:t>
      </w:r>
    </w:p>
    <w:p>
      <w:pPr>
        <w:spacing w:after="0" w:line="91" w:lineRule="exact"/>
        <w:rPr>
          <w:sz w:val="20"/>
          <w:szCs w:val="20"/>
          <w:color w:val="auto"/>
        </w:rPr>
      </w:pPr>
    </w:p>
    <w:p>
      <w:pPr>
        <w:sectPr>
          <w:pgSz w:w="11900" w:h="16838" w:orient="portrait"/>
          <w:cols w:equalWidth="0" w:num="2">
            <w:col w:w="5760" w:space="300"/>
            <w:col w:w="5140"/>
          </w:cols>
          <w:pgMar w:left="240" w:top="455" w:right="45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240" w:top="455" w:right="459" w:bottom="1440" w:gutter="0" w:footer="0" w:header="0"/>
          <w:type w:val="continuous"/>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20"/>
          </w:cols>
          <w:pgMar w:left="240" w:top="455" w:right="439" w:bottom="1440" w:gutter="0" w:footer="0" w:header="0"/>
        </w:sectPr>
      </w:pPr>
    </w:p>
    <w:p>
      <w:pPr>
        <w:spacing w:after="0" w:line="3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u w:val="single" w:color="auto"/>
          <w:color w:val="auto"/>
        </w:rPr>
        <w:t>DELAWARE CORPORATE LAW</w:t>
      </w:r>
    </w:p>
    <w:p>
      <w:pPr>
        <w:spacing w:after="0" w:line="25"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u w:val="single" w:color="auto"/>
          <w:color w:val="auto"/>
        </w:rPr>
        <w:t>SWISS CORPORATE LAW</w:t>
      </w:r>
    </w:p>
    <w:p>
      <w:pPr>
        <w:spacing w:after="0" w:line="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79" w:lineRule="exact"/>
        <w:rPr>
          <w:sz w:val="20"/>
          <w:szCs w:val="20"/>
          <w:color w:val="auto"/>
        </w:rPr>
      </w:pPr>
    </w:p>
    <w:p>
      <w:pPr>
        <w:sectPr>
          <w:pgSz w:w="11900" w:h="16838" w:orient="portrait"/>
          <w:cols w:equalWidth="0" w:num="2">
            <w:col w:w="5620" w:space="440"/>
            <w:col w:w="5160"/>
          </w:cols>
          <w:pgMar w:left="240" w:top="455" w:right="4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7"/>
          <w:szCs w:val="17"/>
          <w:i w:val="1"/>
          <w:iCs w:val="1"/>
          <w:color w:val="auto"/>
        </w:rPr>
        <w:t>Payment of dividends</w:t>
      </w:r>
    </w:p>
    <w:p>
      <w:pPr>
        <w:sectPr>
          <w:pgSz w:w="11900" w:h="16838" w:orient="portrait"/>
          <w:cols w:equalWidth="0" w:num="1">
            <w:col w:w="11220"/>
          </w:cols>
          <w:pgMar w:left="240" w:top="455" w:right="439" w:bottom="1440" w:gutter="0" w:footer="0" w:header="0"/>
          <w:type w:val="continuous"/>
        </w:sectPr>
      </w:pPr>
    </w:p>
    <w:p>
      <w:pPr>
        <w:spacing w:after="0" w:line="131"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share capital either:</w:t>
      </w:r>
    </w:p>
    <w:p>
      <w:pPr>
        <w:spacing w:after="0" w:line="86" w:lineRule="exact"/>
        <w:rPr>
          <w:sz w:val="20"/>
          <w:szCs w:val="20"/>
          <w:color w:val="auto"/>
        </w:rPr>
      </w:pPr>
    </w:p>
    <w:p>
      <w:pPr>
        <w:ind w:left="360" w:hanging="156"/>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130" w:lineRule="exact"/>
        <w:rPr>
          <w:rFonts w:ascii="Times New Roman" w:cs="Times New Roman" w:eastAsia="Times New Roman" w:hAnsi="Times New Roman"/>
          <w:sz w:val="18"/>
          <w:szCs w:val="18"/>
          <w:color w:val="auto"/>
        </w:rPr>
      </w:pPr>
    </w:p>
    <w:p>
      <w:pPr>
        <w:ind w:left="380" w:right="180" w:hanging="176"/>
        <w:spacing w:after="0" w:line="282" w:lineRule="auto"/>
        <w:tabs>
          <w:tab w:leader="none" w:pos="3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67" w:lineRule="exact"/>
        <w:rPr>
          <w:sz w:val="20"/>
          <w:szCs w:val="20"/>
          <w:color w:val="auto"/>
        </w:rPr>
      </w:pPr>
    </w:p>
    <w:p>
      <w:pPr>
        <w:ind w:left="200" w:right="160"/>
        <w:spacing w:after="0" w:line="266" w:lineRule="auto"/>
        <w:rPr>
          <w:sz w:val="20"/>
          <w:szCs w:val="20"/>
          <w:color w:val="auto"/>
        </w:rPr>
      </w:pPr>
      <w:r>
        <w:rPr>
          <w:rFonts w:ascii="Times New Roman" w:cs="Times New Roman" w:eastAsia="Times New Roman" w:hAnsi="Times New Roman"/>
          <w:sz w:val="18"/>
          <w:szCs w:val="18"/>
          <w:color w:val="auto"/>
        </w:rPr>
        <w:t>Stockholder approval is required to authorize share capital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Dividend payments are subject to the approval of the general meeting of shareholders. The board of directors may propose to shareholders that a dividend shall be paid but cannot itself authorize the distribution.</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90" w:lineRule="exact"/>
        <w:rPr>
          <w:sz w:val="20"/>
          <w:szCs w:val="20"/>
          <w:color w:val="auto"/>
        </w:rPr>
      </w:pPr>
    </w:p>
    <w:p>
      <w:pPr>
        <w:sectPr>
          <w:pgSz w:w="11900" w:h="16838" w:orient="portrait"/>
          <w:cols w:equalWidth="0" w:num="2">
            <w:col w:w="5780" w:space="280"/>
            <w:col w:w="5160"/>
          </w:cols>
          <w:pgMar w:left="240" w:top="455" w:right="43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Creation and issuance of new shares</w:t>
      </w:r>
    </w:p>
    <w:p>
      <w:pPr>
        <w:sectPr>
          <w:pgSz w:w="11900" w:h="16838" w:orient="portrait"/>
          <w:cols w:equalWidth="0" w:num="1">
            <w:col w:w="11220"/>
          </w:cols>
          <w:pgMar w:left="240" w:top="455" w:right="439" w:bottom="1440" w:gutter="0" w:footer="0" w:header="0"/>
          <w:type w:val="continuous"/>
        </w:sectPr>
      </w:pPr>
    </w:p>
    <w:p>
      <w:pPr>
        <w:spacing w:after="0" w:line="131"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creation of shares requires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621" w:lineRule="exact"/>
        <w:rPr>
          <w:sz w:val="20"/>
          <w:szCs w:val="20"/>
          <w:color w:val="auto"/>
        </w:rPr>
      </w:pPr>
    </w:p>
    <w:p>
      <w:pPr>
        <w:sectPr>
          <w:pgSz w:w="11900" w:h="16838" w:orient="portrait"/>
          <w:cols w:equalWidth="0" w:num="2">
            <w:col w:w="5820" w:space="240"/>
            <w:col w:w="5160"/>
          </w:cols>
          <w:pgMar w:left="240" w:top="455" w:right="439" w:bottom="1440" w:gutter="0" w:footer="0" w:header="0"/>
          <w:type w:val="continuous"/>
        </w:sect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shares is American Stock Transfer &amp; Trust Company, and its address is 6201 5th Street, Brooklyn, NY 11219.</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“CRSP.”</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55" w:right="4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will describe the specific terms of any debt securities offered through that prospectus supplement.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88"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4" w:lineRule="exact"/>
        <w:rPr>
          <w:sz w:val="20"/>
          <w:szCs w:val="20"/>
          <w:color w:val="auto"/>
        </w:rPr>
      </w:pPr>
    </w:p>
    <w:p>
      <w:pPr>
        <w:ind w:left="200" w:right="36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860" w:hanging="22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860" w:right="440" w:hanging="224"/>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860" w:right="300" w:hanging="224"/>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860" w:right="320" w:hanging="224"/>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860" w:right="200" w:hanging="224"/>
        <w:spacing w:after="0" w:line="266"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or the ability of our subsidiaries to:</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share capital or the share capital of our subsidiaries;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share capital;</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shareholders or affiliates;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shares of our subsidiaries; or</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860" w:right="40" w:hanging="224"/>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we will issue the series of debt securities, if other than denominations of $1,000 and any integral multiple thereof;</w:t>
      </w:r>
    </w:p>
    <w:p>
      <w:pPr>
        <w:spacing w:after="0" w:line="142" w:lineRule="exact"/>
        <w:rPr>
          <w:rFonts w:ascii="Times New Roman" w:cs="Times New Roman" w:eastAsia="Times New Roman" w:hAnsi="Times New Roman"/>
          <w:sz w:val="17"/>
          <w:szCs w:val="17"/>
          <w:color w:val="auto"/>
        </w:rPr>
      </w:pPr>
    </w:p>
    <w:p>
      <w:pPr>
        <w:jc w:val="center"/>
        <w:ind w:left="5620" w:right="20" w:hanging="4984"/>
        <w:spacing w:after="0" w:line="454" w:lineRule="auto"/>
        <w:tabs>
          <w:tab w:leader="none" w:pos="8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 19</w:t>
      </w:r>
    </w:p>
    <w:p>
      <w:pPr>
        <w:sectPr>
          <w:pgSz w:w="11900" w:h="16838" w:orient="portrait"/>
          <w:cols w:equalWidth="0" w:num="1">
            <w:col w:w="11080"/>
          </w:cols>
          <w:pgMar w:left="240" w:top="455" w:right="5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right="20" w:hanging="224"/>
        <w:spacing w:after="0" w:line="266"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121"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shares or other securities (including securities of a third-party). We will include provisions as to whether conversion or exchange is mandatory, at the option of the holder or at our option. We may include provisions pursuant to which the number of our common shares or other securities (including securities of a third-party) that the holders of the series of debt securities receive would be subject to adjustment.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w:t>
      </w:r>
    </w:p>
    <w:p>
      <w:pPr>
        <w:spacing w:after="0" w:line="121"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121"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860" w:hanging="224"/>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860" w:right="180" w:hanging="224"/>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860" w:right="40" w:hanging="224"/>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will describe in each applicable prospectus supplement any additional events of default relating to the relevant series of debt securities.</w:t>
      </w:r>
    </w:p>
    <w:p>
      <w:pPr>
        <w:spacing w:after="0" w:line="225"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24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860" w:hanging="224"/>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860" w:right="340" w:hanging="224"/>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860" w:hanging="22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jc w:val="both"/>
        <w:ind w:left="860" w:right="200" w:hanging="224"/>
        <w:spacing w:after="0" w:line="266" w:lineRule="auto"/>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860" w:right="800" w:hanging="224"/>
        <w:spacing w:after="0" w:line="282" w:lineRule="auto"/>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121" w:lineRule="exact"/>
        <w:rPr>
          <w:sz w:val="20"/>
          <w:szCs w:val="20"/>
          <w:color w:val="auto"/>
        </w:rPr>
      </w:pPr>
    </w:p>
    <w:p>
      <w:pPr>
        <w:ind w:left="20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860" w:hanging="224"/>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Our Debt Securities—Consolidation, Merger or Sale;”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860" w:right="40" w:hanging="224"/>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860" w:right="940" w:hanging="224"/>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 “Description of Debt Securities—General,” to establish the form of 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spacing w:after="0" w:line="282" w:lineRule="auto"/>
        <w:rPr>
          <w:sz w:val="20"/>
          <w:szCs w:val="20"/>
          <w:color w:val="auto"/>
        </w:rPr>
      </w:pPr>
      <w:r>
        <w:rPr>
          <w:rFonts w:ascii="Times New Roman" w:cs="Times New Roman" w:eastAsia="Times New Roman" w:hAnsi="Times New Roman"/>
          <w:sz w:val="18"/>
          <w:szCs w:val="18"/>
          <w:color w:val="auto"/>
        </w:rPr>
        <w:t>certifications required to be furnished pursuant to the terms of the indenture or any series of debt securities, or to add to the rights of the holders of any series of debt securities;</w:t>
      </w:r>
    </w:p>
    <w:p>
      <w:pPr>
        <w:spacing w:after="0" w:line="67" w:lineRule="exact"/>
        <w:rPr>
          <w:sz w:val="20"/>
          <w:szCs w:val="20"/>
          <w:color w:val="auto"/>
        </w:rPr>
      </w:pPr>
    </w:p>
    <w:p>
      <w:pPr>
        <w:ind w:left="860" w:hanging="224"/>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ind w:left="860" w:right="100" w:hanging="224"/>
        <w:spacing w:after="0" w:line="266"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860" w:hanging="224"/>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860" w:right="300" w:hanging="224"/>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121" w:lineRule="exact"/>
        <w:rPr>
          <w:sz w:val="20"/>
          <w:szCs w:val="20"/>
          <w:color w:val="auto"/>
        </w:rPr>
      </w:pPr>
    </w:p>
    <w:p>
      <w:pPr>
        <w:jc w:val="both"/>
        <w:ind w:left="200" w:right="24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applicable to a particular series of debt securities, we can elect to be discharged from our obligations with respect to one or more series of debt securities, except for specified obligations, including obligations to:</w:t>
      </w:r>
    </w:p>
    <w:p>
      <w:pPr>
        <w:spacing w:after="0" w:line="82" w:lineRule="exact"/>
        <w:rPr>
          <w:sz w:val="20"/>
          <w:szCs w:val="20"/>
          <w:color w:val="auto"/>
        </w:rPr>
      </w:pPr>
    </w:p>
    <w:p>
      <w:pPr>
        <w:ind w:left="860" w:hanging="22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200" w:right="12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200" w:right="700"/>
        <w:spacing w:after="0" w:line="282"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24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with respect to that series.</w:t>
      </w:r>
    </w:p>
    <w:p>
      <w:pPr>
        <w:spacing w:after="0" w:line="176"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200" w:right="8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4" w:lineRule="exact"/>
        <w:rPr>
          <w:sz w:val="20"/>
          <w:szCs w:val="20"/>
          <w:color w:val="auto"/>
        </w:rPr>
      </w:pPr>
    </w:p>
    <w:p>
      <w:pPr>
        <w:jc w:val="both"/>
        <w:ind w:left="200" w:right="16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6" w:lineRule="exact"/>
        <w:rPr>
          <w:sz w:val="20"/>
          <w:szCs w:val="20"/>
          <w:color w:val="auto"/>
        </w:rPr>
      </w:pPr>
    </w:p>
    <w:p>
      <w:pPr>
        <w:ind w:left="860" w:right="80" w:hanging="224"/>
        <w:spacing w:after="0" w:line="266"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860" w:right="280" w:hanging="224"/>
        <w:spacing w:after="0" w:line="282"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Trustee</w:t>
      </w:r>
    </w:p>
    <w:p>
      <w:pPr>
        <w:spacing w:after="0" w:line="121" w:lineRule="exact"/>
        <w:rPr>
          <w:sz w:val="20"/>
          <w:szCs w:val="20"/>
          <w:color w:val="auto"/>
        </w:rPr>
      </w:pPr>
    </w:p>
    <w:p>
      <w:pPr>
        <w:jc w:val="both"/>
        <w:ind w:left="200" w:right="1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200" w:right="22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121"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200" w:right="60"/>
        <w:spacing w:after="0" w:line="261"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2" w:lineRule="auto"/>
        <w:rPr>
          <w:sz w:val="20"/>
          <w:szCs w:val="20"/>
          <w:color w:val="auto"/>
        </w:rPr>
      </w:pPr>
      <w:r>
        <w:rPr>
          <w:rFonts w:ascii="Times New Roman" w:cs="Times New Roman" w:eastAsia="Times New Roman" w:hAnsi="Times New Roman"/>
          <w:sz w:val="18"/>
          <w:szCs w:val="18"/>
          <w:color w:val="auto"/>
        </w:rPr>
        <w:t>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62" w:lineRule="exact"/>
        <w:rPr>
          <w:sz w:val="20"/>
          <w:szCs w:val="20"/>
          <w:color w:val="auto"/>
        </w:rPr>
      </w:pPr>
    </w:p>
    <w:p>
      <w:pPr>
        <w:ind w:left="200" w:right="12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Ranking of Debt Securities</w:t>
      </w:r>
    </w:p>
    <w:p>
      <w:pPr>
        <w:spacing w:after="0" w:line="121"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24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20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shares and/or debt securities in one or more series. We may issue warrants independently or together with common shares and/or debt securities, and the warrants may be attached to or separate from these securities.</w:t>
      </w:r>
    </w:p>
    <w:p>
      <w:pPr>
        <w:spacing w:after="0" w:line="162" w:lineRule="exact"/>
        <w:rPr>
          <w:sz w:val="20"/>
          <w:szCs w:val="20"/>
          <w:color w:val="auto"/>
        </w:rPr>
      </w:pPr>
    </w:p>
    <w:p>
      <w:pPr>
        <w:ind w:left="20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860" w:right="180" w:hanging="224"/>
        <w:spacing w:after="0" w:line="282"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860" w:right="340" w:hanging="224"/>
        <w:spacing w:after="0" w:line="282"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860" w:right="160" w:hanging="224"/>
        <w:spacing w:after="0" w:line="282" w:lineRule="auto"/>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shares, the number of common shares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common shares,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9"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6" w:lineRule="exact"/>
        <w:rPr>
          <w:sz w:val="20"/>
          <w:szCs w:val="20"/>
          <w:color w:val="auto"/>
        </w:rPr>
      </w:pPr>
    </w:p>
    <w:p>
      <w:pPr>
        <w:ind w:left="860" w:right="600" w:hanging="224"/>
        <w:spacing w:after="0" w:line="282"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200" w:right="40"/>
        <w:spacing w:after="0" w:line="313"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Share Capital,” “Description of Debt Securities” and “Description of Warrants” will apply to the securities included in each unit, to the extent relevant and as may be updated in any prospectus supplements.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20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20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24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860" w:hanging="224"/>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860" w:right="400" w:hanging="224"/>
        <w:spacing w:after="0" w:line="282"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860" w:right="480" w:hanging="224"/>
        <w:spacing w:after="0" w:line="282" w:lineRule="auto"/>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860" w:right="220" w:hanging="224"/>
        <w:spacing w:after="0" w:line="282" w:lineRule="auto"/>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860" w:right="40" w:hanging="224"/>
        <w:spacing w:after="0" w:line="282" w:lineRule="auto"/>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860" w:right="440" w:hanging="224"/>
        <w:spacing w:after="0" w:line="313" w:lineRule="auto"/>
        <w:tabs>
          <w:tab w:leader="none" w:pos="8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38" w:lineRule="exact"/>
        <w:rPr>
          <w:sz w:val="20"/>
          <w:szCs w:val="20"/>
          <w:color w:val="auto"/>
        </w:rPr>
      </w:pPr>
    </w:p>
    <w:p>
      <w:pPr>
        <w:ind w:left="200" w:right="70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80"/>
          </w:cols>
          <w:pgMar w:left="24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200" w:right="10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200" w:right="8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20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860" w:hanging="224"/>
        <w:spacing w:after="0" w:line="282" w:lineRule="auto"/>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860" w:right="20" w:hanging="224"/>
        <w:spacing w:after="0" w:line="289" w:lineRule="auto"/>
        <w:tabs>
          <w:tab w:leader="none" w:pos="8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63" w:lineRule="exact"/>
        <w:rPr>
          <w:rFonts w:ascii="Times New Roman" w:cs="Times New Roman" w:eastAsia="Times New Roman" w:hAnsi="Times New Roman"/>
          <w:sz w:val="17"/>
          <w:szCs w:val="17"/>
          <w:color w:val="auto"/>
        </w:rPr>
      </w:pPr>
    </w:p>
    <w:p>
      <w:pPr>
        <w:ind w:left="860" w:right="120" w:hanging="224"/>
        <w:spacing w:after="0" w:line="256" w:lineRule="auto"/>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fifteen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24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76"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left="200" w:right="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including the following:</w:t>
      </w:r>
    </w:p>
    <w:p>
      <w:pPr>
        <w:spacing w:after="0" w:line="67" w:lineRule="exact"/>
        <w:rPr>
          <w:sz w:val="20"/>
          <w:szCs w:val="20"/>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common shares, preferred shares or warrants for those securities will be offered under the shareholder subscription rights;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shareholder;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securities which may be purchased per each subscription right;</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860" w:right="740" w:hanging="224"/>
        <w:spacing w:after="0" w:line="282"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w:t>
      </w:r>
    </w:p>
    <w:p>
      <w:pPr>
        <w:spacing w:after="0" w:line="130" w:lineRule="exact"/>
        <w:rPr>
          <w:rFonts w:ascii="Times New Roman" w:cs="Times New Roman" w:eastAsia="Times New Roman" w:hAnsi="Times New Roman"/>
          <w:sz w:val="18"/>
          <w:szCs w:val="18"/>
          <w:color w:val="auto"/>
        </w:rPr>
      </w:pPr>
    </w:p>
    <w:p>
      <w:pPr>
        <w:ind w:left="860" w:right="360" w:hanging="224"/>
        <w:spacing w:after="0" w:line="282"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ind w:left="200" w:right="12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Standby Arrangements</w:t>
      </w:r>
    </w:p>
    <w:p>
      <w:pPr>
        <w:spacing w:after="0" w:line="121" w:lineRule="exact"/>
        <w:rPr>
          <w:sz w:val="20"/>
          <w:szCs w:val="20"/>
          <w:color w:val="auto"/>
        </w:rPr>
      </w:pPr>
    </w:p>
    <w:p>
      <w:pPr>
        <w:jc w:val="both"/>
        <w:ind w:left="200" w:right="60"/>
        <w:spacing w:after="0" w:line="266"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24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200" w:right="2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2" w:lineRule="exact"/>
        <w:rPr>
          <w:sz w:val="20"/>
          <w:szCs w:val="20"/>
          <w:color w:val="auto"/>
        </w:rPr>
      </w:pPr>
    </w:p>
    <w:p>
      <w:pPr>
        <w:ind w:left="860" w:hanging="224"/>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“at–the-market offering” as defined in Rule 415 under the Securities Act. Such offering may be made into an existing trading market for such securities in transactions at other than a fixed price on or through the facilities of the NASDAQ Global Market or any other securities exchange or quotation or trading service on which such securities may be listed, quoted or traded at the time of sale.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Such at-the-market offerings, if any, may be conducted by underwriters acting as principal or agent.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 prospectus supplement or supplements will describe the terms of the offering of the securities, including, to the extent applicable:</w:t>
      </w:r>
    </w:p>
    <w:p>
      <w:pPr>
        <w:spacing w:after="0" w:line="131" w:lineRule="exact"/>
        <w:rPr>
          <w:sz w:val="20"/>
          <w:szCs w:val="20"/>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subscription rights; and</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200" w:right="14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9"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24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ind w:left="200" w:right="26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both"/>
        <w:ind w:left="200" w:right="22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9" w:lineRule="exact"/>
        <w:rPr>
          <w:sz w:val="20"/>
          <w:szCs w:val="20"/>
          <w:color w:val="auto"/>
        </w:rPr>
      </w:pPr>
    </w:p>
    <w:p>
      <w:pPr>
        <w:jc w:val="both"/>
        <w:ind w:left="200" w:right="80"/>
        <w:spacing w:after="0" w:line="266" w:lineRule="auto"/>
        <w:rPr>
          <w:sz w:val="20"/>
          <w:szCs w:val="20"/>
          <w:color w:val="auto"/>
        </w:rPr>
      </w:pPr>
      <w:r>
        <w:rPr>
          <w:rFonts w:ascii="Times New Roman" w:cs="Times New Roman" w:eastAsia="Times New Roman" w:hAnsi="Times New Roman"/>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76"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Direct sales to investors or our shareholders may be accomplished through subscription offerings or through subscription rights distributed to shareholders. In connection with subscription offerings or the distribution of subscription rights to shareholders, if all of the underlying securities are not subscribed for, we may sell any unsubscribed securities to third parties directly or through underwriters or agents. In addition, whether or not all of the underlying securities are subscribed for, we may concurrently offer additional securities to third parties directly or through underwriters or agents. If securities are to be sold through subscription rights, the subscription rights will be distributed as a dividend to the shareholders for which they will pay no separate consideration.</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24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200" w:right="70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Goodwin Procter LLP, Boston, Massachusetts.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right="280"/>
        <w:spacing w:after="0" w:line="258" w:lineRule="auto"/>
        <w:rPr>
          <w:sz w:val="20"/>
          <w:szCs w:val="20"/>
          <w:color w:val="auto"/>
        </w:rPr>
      </w:pPr>
      <w:r>
        <w:rPr>
          <w:rFonts w:ascii="Times New Roman" w:cs="Times New Roman" w:eastAsia="Times New Roman" w:hAnsi="Times New Roman"/>
          <w:sz w:val="18"/>
          <w:szCs w:val="18"/>
          <w:color w:val="auto"/>
        </w:rPr>
        <w:t>The financial statements of CRISPR Therapeutics AG appearing in CRISPR Therapeutics AG’s Annual Report (Form 10-K) for the year ended December 31, 2016,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200" w:right="1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may read and copy the registration statement, as well as any other document filed by us with the SEC, at the SEC’s Public Reference Room at 100 F Street NE, Washington, D.C. 20549. You can also request copies of these documents by writing to the SEC and paying a fee for the copying cost. You may obtain information on the operation of the Public Reference Room by calling the SEC at (800) SEC-0330. The SEC maintains a website that contains reports, proxy statements and other information regarding issuers that file electronically with the SEC, including CRISPR Therapeutics AG. The address of the SEC website is www.sec.gov.</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maintain a website at www.crisprtx.com. Information contained in or accessible through our website does not constitute a part of this prospectus.</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001-37923. The documents incorporated by reference into this prospectus contain important information that you should read about us.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5620" w:right="2240" w:hanging="4984"/>
        <w:spacing w:after="0" w:line="454" w:lineRule="auto"/>
        <w:tabs>
          <w:tab w:leader="none" w:pos="8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2016, filed with the SEC on March 10, 2017; 32</w:t>
      </w:r>
    </w:p>
    <w:p>
      <w:pPr>
        <w:sectPr>
          <w:pgSz w:w="11900" w:h="16838" w:orient="portrait"/>
          <w:cols w:equalWidth="0" w:num="1">
            <w:col w:w="11220"/>
          </w:cols>
          <w:pgMar w:left="24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three months ended March 31, 2017 filed with the SEC on May 11, 2017;</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three months ended June 30, 2017 filed with the SEC on August 10, 2017;</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three months ended September 30, 2017 filed with the SEC on November 8, 2017;</w:t>
      </w:r>
    </w:p>
    <w:p>
      <w:pPr>
        <w:spacing w:after="0" w:line="130" w:lineRule="exact"/>
        <w:rPr>
          <w:rFonts w:ascii="Times New Roman" w:cs="Times New Roman" w:eastAsia="Times New Roman" w:hAnsi="Times New Roman"/>
          <w:sz w:val="18"/>
          <w:szCs w:val="18"/>
          <w:color w:val="auto"/>
        </w:rPr>
      </w:pPr>
    </w:p>
    <w:p>
      <w:pPr>
        <w:ind w:left="860" w:right="20" w:hanging="224"/>
        <w:spacing w:after="0" w:line="266"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November 7, 2017, October 2, 2017, July 27, 2017, July 25, 2017, June 19, 2017, June 8, 2017, June 2, 2017, May 4, 2017, April 27, 2017, April 13, 2017, March 31, 2017, March 20, 2017 and February 15, 2017, to the extent the information in such reports is filed and not furnished;</w:t>
      </w:r>
    </w:p>
    <w:p>
      <w:pPr>
        <w:spacing w:after="0" w:line="81" w:lineRule="exact"/>
        <w:rPr>
          <w:rFonts w:ascii="Times New Roman" w:cs="Times New Roman" w:eastAsia="Times New Roman" w:hAnsi="Times New Roman"/>
          <w:sz w:val="18"/>
          <w:szCs w:val="18"/>
          <w:color w:val="auto"/>
        </w:rPr>
      </w:pPr>
    </w:p>
    <w:p>
      <w:pPr>
        <w:ind w:left="860" w:right="200" w:hanging="224"/>
        <w:spacing w:after="0" w:line="266"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our Annual Report on Form 10-K for the year ended December 31, 2016 from our definitive proxy statement on Schedule 14A (other than information furnished rather than filed), which was filed with the SEC on April 18, 2017; and</w:t>
      </w:r>
    </w:p>
    <w:p>
      <w:pPr>
        <w:spacing w:after="0" w:line="81" w:lineRule="exact"/>
        <w:rPr>
          <w:rFonts w:ascii="Times New Roman" w:cs="Times New Roman" w:eastAsia="Times New Roman" w:hAnsi="Times New Roman"/>
          <w:sz w:val="18"/>
          <w:szCs w:val="18"/>
          <w:color w:val="auto"/>
        </w:rPr>
      </w:pPr>
    </w:p>
    <w:p>
      <w:pPr>
        <w:ind w:left="860" w:right="460" w:hanging="224"/>
        <w:spacing w:after="0" w:line="282"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shares contained in our Registration Statement on Form 8-A12B, filed with the SEC on October 18, 2016, including any amendments or reports filed for the purposes of updating this description.</w:t>
      </w:r>
    </w:p>
    <w:p>
      <w:pPr>
        <w:spacing w:after="0" w:line="162"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4" w:lineRule="exact"/>
        <w:rPr>
          <w:sz w:val="20"/>
          <w:szCs w:val="20"/>
          <w:color w:val="auto"/>
        </w:rPr>
      </w:pPr>
    </w:p>
    <w:p>
      <w:pPr>
        <w:ind w:left="200" w:right="1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CRISPR Therapeutics, Inc., 610 Main Street, Cambridge, Massachusetts 02139, Attn: Secretary, telephone: (617) 315-4626.</w:t>
      </w:r>
    </w:p>
    <w:p>
      <w:pPr>
        <w:spacing w:after="0" w:line="180"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240" w:top="455" w:right="439" w:bottom="1440" w:gutter="0" w:footer="0" w:header="0"/>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232410</wp:posOffset>
            </wp:positionV>
            <wp:extent cx="699770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292735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1107440</wp:posOffset>
            </wp:positionV>
            <wp:extent cx="1115060" cy="11150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5060" cy="111506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5"/>
          <w:szCs w:val="25"/>
          <w:b w:val="1"/>
          <w:bCs w:val="1"/>
          <w:color w:val="auto"/>
        </w:rPr>
        <w:t>165,636</w:t>
      </w:r>
    </w:p>
    <w:p>
      <w:pPr>
        <w:spacing w:after="0" w:line="200" w:lineRule="exact"/>
        <w:rPr>
          <w:sz w:val="20"/>
          <w:szCs w:val="20"/>
          <w:color w:val="auto"/>
        </w:rPr>
      </w:pPr>
    </w:p>
    <w:p>
      <w:pPr>
        <w:spacing w:after="0" w:line="2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1679575</wp:posOffset>
            </wp:positionV>
            <wp:extent cx="1466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243840</wp:posOffset>
            </wp:positionV>
            <wp:extent cx="1466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September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500380</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560070</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Roman"/>
      <w:start w:val="3"/>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lvl w:ilvl="1">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2019-12-08T14:58:54Z</dcterms:created>
  <dcterms:modified xsi:type="dcterms:W3CDTF">2019-12-08T14:58:54Z</dcterms:modified>
</cp:coreProperties>
</file>