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CRISPR THERAPEUTICS AG</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001-37923</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Baarerstrasse 14</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6300 Zug, Switzerland</w:t>
            </w:r>
          </w:p>
        </w:tc>
        <w:tc>
          <w:tcPr>
            <w:tcW w:w="3200" w:type="dxa"/>
            <w:vAlign w:val="bottom"/>
          </w:tcPr>
          <w:p>
            <w:pPr>
              <w:spacing w:after="0"/>
              <w:rPr>
                <w:sz w:val="18"/>
                <w:szCs w:val="18"/>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 (0)41 561 32 77</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nominal value CHF 0.03</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CRSP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On February 13, 2024, CRISPR Therapeutics AG (the “Company”) entered into an investment agreement (the “Investment Agreement”) with certain institutional investors relating to the issuance of 3,916,082 shares of the Company’s common shares, par value of CHF 0.03 per share (the “Common Shares”), to such investors (the “Offering”). The Common Shares will be issued to the investors at an issue price of $71.50 per share. The Investment Agreement contains customary representations and warranties, conditions to closing, termination provisions and indemnification obligations, including for liabilities under the Securities Act of 1933, as amended.</w:t>
      </w:r>
    </w:p>
    <w:p>
      <w:pPr>
        <w:spacing w:after="0" w:line="183" w:lineRule="exact"/>
        <w:rPr>
          <w:sz w:val="20"/>
          <w:szCs w:val="20"/>
          <w:color w:val="auto"/>
        </w:rPr>
      </w:pPr>
    </w:p>
    <w:p>
      <w:pPr>
        <w:jc w:val="both"/>
        <w:ind w:left="4" w:right="460"/>
        <w:spacing w:after="0" w:line="266" w:lineRule="auto"/>
        <w:rPr>
          <w:sz w:val="20"/>
          <w:szCs w:val="20"/>
          <w:color w:val="auto"/>
        </w:rPr>
      </w:pPr>
      <w:r>
        <w:rPr>
          <w:rFonts w:ascii="Times New Roman" w:cs="Times New Roman" w:eastAsia="Times New Roman" w:hAnsi="Times New Roman"/>
          <w:sz w:val="18"/>
          <w:szCs w:val="18"/>
          <w:color w:val="auto"/>
        </w:rPr>
        <w:t>The gross proceeds from the Offering will be approximately $280 million, before paying estimated offering expenses. The Offering is being made pursuant to the automatically effective shelf registration statement on Form S-3 (File No. 333-258274) previously filed by the Company with the Securities and Exchange Commission on July 29, 2021.</w:t>
      </w:r>
    </w:p>
    <w:p>
      <w:pPr>
        <w:spacing w:after="0" w:line="176"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The form of Investment Agreement is filed as Exhibit 10.1 to this Current Report on Form 8-K. The foregoing description of the respective terms of the Investment Agreement is not intended to be complete and is qualified in its entirety by reference to such exhibit. A copy of the opinion of Walder Wyss AG relating to the legality of the issuance and sale of the shares in the Offering is filed as Exhibit 5.1 to this Current Report on Form 8-K.</w:t>
      </w: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4"/>
        </w:trPr>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Opinion of Walder Wyss AG</w:t>
            </w:r>
          </w:p>
        </w:tc>
      </w:tr>
      <w:tr>
        <w:trPr>
          <w:trHeight w:val="20"/>
        </w:trPr>
        <w:tc>
          <w:tcPr>
            <w:tcW w:w="10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Investment Agreement</w:t>
            </w:r>
          </w:p>
        </w:tc>
        <w:tc>
          <w:tcPr>
            <w:tcW w:w="3500" w:type="dxa"/>
            <w:vAlign w:val="bottom"/>
            <w:gridSpan w:val="2"/>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Walder Wyss (included in Exhibit 5.1)</w:t>
            </w:r>
          </w:p>
        </w:tc>
        <w:tc>
          <w:tcPr>
            <w:tcW w:w="2180" w:type="dxa"/>
            <w:vAlign w:val="bottom"/>
          </w:tcPr>
          <w:p>
            <w:pPr>
              <w:spacing w:after="0"/>
              <w:rPr>
                <w:sz w:val="24"/>
                <w:szCs w:val="24"/>
                <w:color w:val="auto"/>
              </w:rPr>
            </w:pPr>
          </w:p>
        </w:tc>
      </w:tr>
      <w:tr>
        <w:trPr>
          <w:trHeight w:val="3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24" w:hanging="224"/>
        <w:spacing w:after="0" w:line="260"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to this agreement have been omitted pursuant to Item 601 of Regulation S-K. The registrant will furnish copies of any of the exhibits to the Securities and Exchange Commission upon request.</w:t>
      </w:r>
    </w:p>
    <w:p>
      <w:pPr>
        <w:sectPr>
          <w:pgSz w:w="11900" w:h="16838" w:orient="portrait"/>
          <w:cols w:equalWidth="0" w:num="1">
            <w:col w:w="10964"/>
          </w:cols>
          <w:pgMar w:left="436"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CRISPR Therapeutics AG</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Samarth Kulkarni,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Walder Wyss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62318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3185" cy="274320"/>
                    </a:xfrm>
                    <a:prstGeom prst="rect">
                      <a:avLst/>
                    </a:prstGeom>
                    <a:noFill/>
                  </pic:spPr>
                </pic:pic>
              </a:graphicData>
            </a:graphic>
          </wp:anchor>
        </w:drawing>
      </w:r>
    </w:p>
    <w:p>
      <w:pPr>
        <w:spacing w:after="0" w:line="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Seefeldstrasse 123</w:t>
      </w:r>
    </w:p>
    <w:p>
      <w:pPr>
        <w:spacing w:after="0" w:line="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P.O. Box</w:t>
      </w:r>
    </w:p>
    <w:p>
      <w:pPr>
        <w:spacing w:after="0" w:line="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8034 Zurich</w:t>
      </w:r>
    </w:p>
    <w:p>
      <w:pPr>
        <w:spacing w:after="0" w:line="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Switzerland</w:t>
      </w:r>
    </w:p>
    <w:p>
      <w:pPr>
        <w:spacing w:after="0" w:line="234"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Telephone +41 58 658 58 58</w:t>
      </w:r>
    </w:p>
    <w:p>
      <w:pPr>
        <w:spacing w:after="0" w:line="2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Fax +41 58 658 59 59</w:t>
      </w:r>
    </w:p>
    <w:p>
      <w:pPr>
        <w:spacing w:after="0" w:line="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www.walderwyss.com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CRISPR Therapeutics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Baarerstrasse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6300 Zug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Zurich, as of February 13,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CRISPR Therapeutics AG – Swiss Legal Opinion (Registration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Madam, Dear Sir,</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have acted as Swiss counsel to CRISPR Therapeutics AG, Zug,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in connection with (i) a registration statement on Form S-3ASR filed with the U.S. Securities and Exchange Commission (SEC) on July 29, 2021 (SEC file no. [333-258274])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for the purpose of registering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amongst others, an indeterminate amount of common shares, par value of CHF 0.03 each, of the Company (such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and (ii) a final prospectus supplement dated February 13, 2024 relating to the offering of Common Shares at an aggregate offering price per Common Share of up to USD 71.50 (such Common Shares,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Prospec tus Supplement</w:t>
      </w:r>
      <w:r>
        <w:rPr>
          <w:rFonts w:ascii="Times New Roman" w:cs="Times New Roman" w:eastAsia="Times New Roman" w:hAnsi="Times New Roman"/>
          <w:sz w:val="18"/>
          <w:szCs w:val="18"/>
          <w:color w:val="auto"/>
        </w:rPr>
        <w:t xml:space="preserve">), as further addressed in a certain investment agreement dated February 13, 2024 (the </w:t>
      </w:r>
      <w:r>
        <w:rPr>
          <w:rFonts w:ascii="Times New Roman" w:cs="Times New Roman" w:eastAsia="Times New Roman" w:hAnsi="Times New Roman"/>
          <w:sz w:val="18"/>
          <w:szCs w:val="18"/>
          <w:b w:val="1"/>
          <w:bCs w:val="1"/>
          <w:color w:val="auto"/>
        </w:rPr>
        <w:t>Investment Agreement</w:t>
      </w:r>
      <w:r>
        <w:rPr>
          <w:rFonts w:ascii="Times New Roman" w:cs="Times New Roman" w:eastAsia="Times New Roman" w:hAnsi="Times New Roman"/>
          <w:sz w:val="18"/>
          <w:szCs w:val="18"/>
          <w:color w:val="auto"/>
        </w:rPr>
        <w:t xml:space="preserve">), entered into between (i) the investors identified on Exhibit A of the Investment Agreement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on one hand, and (ii) the Company, on the other hand.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counsel, we have been requested to render an opinion as to certain matters of Swiss law.</w:t>
      </w:r>
    </w:p>
    <w:p>
      <w:pPr>
        <w:spacing w:after="0" w:line="15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Page 1 of 7</w:t>
      </w:r>
    </w:p>
    <w:p>
      <w:pPr>
        <w:sectPr>
          <w:pgSz w:w="11900" w:h="16838" w:orient="portrait"/>
          <w:cols w:equalWidth="0" w:num="1">
            <w:col w:w="11020"/>
          </w:cols>
          <w:pgMar w:left="440" w:top="117" w:right="439" w:bottom="1440" w:gutter="0" w:footer="0" w:header="0"/>
        </w:sectPr>
      </w:pPr>
    </w:p>
    <w:bookmarkStart w:id="4" w:name="page5"/>
    <w:bookmarkEnd w:id="4"/>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2555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25755"/>
                    </a:xfrm>
                    <a:prstGeom prst="rect">
                      <a:avLst/>
                    </a:prstGeom>
                    <a:noFill/>
                  </pic:spPr>
                </pic:pic>
              </a:graphicData>
            </a:graphic>
          </wp:anchor>
        </w:drawing>
        <w:t>Scope and Limitation of Opinion</w:t>
      </w:r>
    </w:p>
    <w:p>
      <w:pPr>
        <w:spacing w:after="0" w:line="121" w:lineRule="exact"/>
        <w:rPr>
          <w:rFonts w:ascii="Times New Roman" w:cs="Times New Roman" w:eastAsia="Times New Roman" w:hAnsi="Times New Roman"/>
          <w:sz w:val="18"/>
          <w:szCs w:val="18"/>
          <w:b w:val="1"/>
          <w:bCs w:val="1"/>
          <w:color w:val="auto"/>
        </w:rPr>
      </w:pPr>
    </w:p>
    <w:p>
      <w:pPr>
        <w:ind w:left="444"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opinion is strictly confined to matters of Swiss law as in force at the date hereof and as it is presently applied by the Swiss courts. Such law and its interpretation are subject to change. In the absence of explicit statutory law or established case law, we base our opinion solely on our independent professional judgment. Our opinion is strictly limited to the Documents (as defined below) and the matters stated herein and is not to be read as extending, by implication or otherwise, to any agreement or document referred to in any of the Documents or any other matter. For purposes of this opinion, we have not conducted any due diligence or similar investigation or verification as to any matters stated herein. In this opinion, Swiss legal concepts are expressed in English terms and not in their original language. These concepts may not be identical to the concepts described by the same English language terms as they exist under the laws of other jurisdictions.</w:t>
      </w:r>
    </w:p>
    <w:p>
      <w:pPr>
        <w:spacing w:after="0" w:line="9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purposes of rendering the opinion expressed herein, we have received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Registration Statement;</w:t>
      </w:r>
    </w:p>
    <w:p>
      <w:pPr>
        <w:spacing w:after="0" w:line="12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the base prospectus dated July 29, 2021, included in the Registration Statement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740" w:hanging="532"/>
        <w:spacing w:after="0" w:line="286"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the Prospectus Supplement (together with the Prospectus, the </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xml:space="preserve">, and together with the Registration Statement, the </w:t>
      </w:r>
      <w:r>
        <w:rPr>
          <w:rFonts w:ascii="Times New Roman" w:cs="Times New Roman" w:eastAsia="Times New Roman" w:hAnsi="Times New Roman"/>
          <w:sz w:val="18"/>
          <w:szCs w:val="18"/>
          <w:b w:val="1"/>
          <w:bCs w:val="1"/>
          <w:color w:val="auto"/>
        </w:rPr>
        <w:t>Filing Documents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Investment Agreement;</w:t>
      </w:r>
    </w:p>
    <w:p>
      <w:pPr>
        <w:spacing w:after="0" w:line="128" w:lineRule="exact"/>
        <w:rPr>
          <w:rFonts w:ascii="Times New Roman" w:cs="Times New Roman" w:eastAsia="Times New Roman" w:hAnsi="Times New Roman"/>
          <w:sz w:val="18"/>
          <w:szCs w:val="18"/>
          <w:color w:val="auto"/>
        </w:rPr>
      </w:pPr>
    </w:p>
    <w:p>
      <w:pPr>
        <w:ind w:left="964" w:right="320" w:hanging="532"/>
        <w:spacing w:after="0" w:line="284"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the public deed 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resolution regarding the introduction of a capital band by the Company’s shareholders’ meeting held on June 8, 2023 (the </w:t>
      </w:r>
      <w:r>
        <w:rPr>
          <w:rFonts w:ascii="Times New Roman" w:cs="Times New Roman" w:eastAsia="Times New Roman" w:hAnsi="Times New Roman"/>
          <w:sz w:val="18"/>
          <w:szCs w:val="18"/>
          <w:b w:val="1"/>
          <w:bCs w:val="1"/>
          <w:color w:val="auto"/>
        </w:rPr>
        <w:t>AGM Resolution</w:t>
      </w:r>
      <w:r>
        <w:rPr>
          <w:rFonts w:ascii="Times New Roman" w:cs="Times New Roman" w:eastAsia="Times New Roman" w:hAnsi="Times New Roman"/>
          <w:sz w:val="18"/>
          <w:szCs w:val="18"/>
          <w:color w:val="auto"/>
        </w:rPr>
        <w:t>);</w:t>
      </w:r>
    </w:p>
    <w:p>
      <w:pPr>
        <w:spacing w:after="0" w:line="6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the certified articles of association of the Company in their version dated June 8, 2023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the organizational regulations of the Company in their version as per October 18, 2016 (the </w:t>
      </w:r>
      <w:r>
        <w:rPr>
          <w:rFonts w:ascii="Times New Roman" w:cs="Times New Roman" w:eastAsia="Times New Roman" w:hAnsi="Times New Roman"/>
          <w:sz w:val="18"/>
          <w:szCs w:val="18"/>
          <w:b w:val="1"/>
          <w:bCs w:val="1"/>
          <w:color w:val="auto"/>
        </w:rPr>
        <w:t>Organizational Regulations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4" w:right="640" w:hanging="532"/>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.pdf copy of a certified excerpt from the registry of the Commercial Register of the Canton of Zug, dated February 1, 2024 of the Company (the </w:t>
      </w:r>
      <w:r>
        <w:rPr>
          <w:rFonts w:ascii="Times New Roman" w:cs="Times New Roman" w:eastAsia="Times New Roman" w:hAnsi="Times New Roman"/>
          <w:sz w:val="18"/>
          <w:szCs w:val="18"/>
          <w:b w:val="1"/>
          <w:bCs w:val="1"/>
          <w:color w:val="auto"/>
        </w:rPr>
        <w:t>Excerpt</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7</w:t>
      </w:r>
    </w:p>
    <w:p>
      <w:pPr>
        <w:sectPr>
          <w:pgSz w:w="11900" w:h="16838" w:orient="portrait"/>
          <w:cols w:equalWidth="0" w:num="1">
            <w:col w:w="11024"/>
          </w:cols>
          <w:pgMar w:left="436" w:top="927" w:right="439" w:bottom="1440" w:gutter="0" w:footer="0" w:header="0"/>
        </w:sectPr>
      </w:pPr>
    </w:p>
    <w:bookmarkStart w:id="5" w:name="page6"/>
    <w:bookmarkEnd w:id="5"/>
    <w:p>
      <w:pPr>
        <w:ind w:left="964" w:right="60" w:hanging="532"/>
        <w:spacing w:after="0" w:line="256"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2555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25755"/>
                    </a:xfrm>
                    <a:prstGeom prst="rect">
                      <a:avLst/>
                    </a:prstGeom>
                    <a:noFill/>
                  </pic:spPr>
                </pic:pic>
              </a:graphicData>
            </a:graphic>
          </wp:anchor>
        </w:drawing>
        <w:t xml:space="preserve">a .pdf copy of the minutes of the meeting of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held on February 12, 2024 approving, among other things, (i) the filing of the Registration Statement, (ii) the offering of the Offered Shares to the Investors as contemplated in the Investment Agreement, (iii) the offering price for the Issued Shares and (iv) the authorization granted to any member of the Board, acting individually, to resolve on a capital increase within the Company’s capital band, withdraw the pre-emptive rights of the shareholders based on the withdrawal authorization under the Articles and Swiss law and allocate the withdrawn pre-emptive rights to third parties and/or certain existing shareholders and execute and deliver, in the name and on behalf of the Company any and all documents, agreements and instruments to effectuate the resolutions (the </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documents have been reviewed by us in connection with this opinion other than the Documents listed in this Section 2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4" w:right="160"/>
        <w:spacing w:after="0" w:line="282" w:lineRule="auto"/>
        <w:rPr>
          <w:sz w:val="20"/>
          <w:szCs w:val="20"/>
          <w:color w:val="auto"/>
        </w:rPr>
      </w:pPr>
      <w:r>
        <w:rPr>
          <w:rFonts w:ascii="Times New Roman" w:cs="Times New Roman" w:eastAsia="Times New Roman" w:hAnsi="Times New Roman"/>
          <w:sz w:val="18"/>
          <w:szCs w:val="18"/>
          <w:color w:val="auto"/>
        </w:rPr>
        <w:t>All terms used in this opinion in uppercase form shall have the meaning ascribed to them in the Registration Statement, unless otherwise defined herein.</w:t>
      </w:r>
    </w:p>
    <w:p>
      <w:pPr>
        <w:spacing w:after="0" w:line="63"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rendering the opinion below, we have assumed:</w:t>
      </w:r>
    </w:p>
    <w:p>
      <w:pPr>
        <w:spacing w:after="0" w:line="130" w:lineRule="exact"/>
        <w:rPr>
          <w:rFonts w:ascii="Times New Roman" w:cs="Times New Roman" w:eastAsia="Times New Roman" w:hAnsi="Times New Roman"/>
          <w:sz w:val="18"/>
          <w:szCs w:val="18"/>
          <w:b w:val="1"/>
          <w:bCs w:val="1"/>
          <w:color w:val="auto"/>
        </w:rPr>
      </w:pPr>
    </w:p>
    <w:p>
      <w:pPr>
        <w:ind w:left="964" w:right="10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to the Documents of all documents produced to us as copies, fax copies or via e-mail, and that the original was executed in the manner appearing on the copy of the draft;</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and authenticity of the signatures on all copies of the original Documents thereof which we have examined, and the accuracy of all factual information contained in, or statements given in connection with, the Documents;</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AGM Resolution is a true record of the proceedings described therein in duly convened, constituted and quorate meetings of the Company’s shareholder meeting, and the resolutions set out therein were validly passed and have not been rescinded or amended and are in full force and effect;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7</w:t>
      </w:r>
    </w:p>
    <w:p>
      <w:pPr>
        <w:sectPr>
          <w:pgSz w:w="11900" w:h="16838" w:orient="portrait"/>
          <w:cols w:equalWidth="0" w:num="1">
            <w:col w:w="11024"/>
          </w:cols>
          <w:pgMar w:left="436" w:top="927" w:right="439" w:bottom="1440" w:gutter="0" w:footer="0" w:header="0"/>
        </w:sectPr>
      </w:pPr>
    </w:p>
    <w:bookmarkStart w:id="6" w:name="page7"/>
    <w:bookmarkEnd w:id="6"/>
    <w:p>
      <w:pPr>
        <w:ind w:left="540" w:right="200" w:hanging="532"/>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25550"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25755"/>
                    </a:xfrm>
                    <a:prstGeom prst="rect">
                      <a:avLst/>
                    </a:prstGeom>
                    <a:noFill/>
                  </pic:spPr>
                </pic:pic>
              </a:graphicData>
            </a:graphic>
          </wp:anchor>
        </w:drawing>
        <w:t>the Board Resolution is a true record of the proceedings described therein in duly convened, constituted and quorate meetings of the Company’s board of directors, and the resolutions set out therein were validly passed and have not been rescinded or amended and are in full force and effect;</w:t>
      </w:r>
    </w:p>
    <w:p>
      <w:pPr>
        <w:spacing w:after="0" w:line="81" w:lineRule="exact"/>
        <w:rPr>
          <w:rFonts w:ascii="Times New Roman" w:cs="Times New Roman" w:eastAsia="Times New Roman" w:hAnsi="Times New Roman"/>
          <w:sz w:val="18"/>
          <w:szCs w:val="18"/>
          <w:color w:val="auto"/>
        </w:rPr>
      </w:pPr>
    </w:p>
    <w:p>
      <w:pPr>
        <w:ind w:left="540" w:right="60" w:hanging="532"/>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information provided in the Documents (in particular in the Excerpt, the Articles and the Organizational Regulations) are true, correct, complete and up to date as of the date hereof and that there are no facts outstanding or matters resolved that are not reflected in the Documents;</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or will be, duly filed by the Company;</w:t>
      </w:r>
    </w:p>
    <w:p>
      <w:pPr>
        <w:spacing w:after="0" w:line="130"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power and authority of each of the parties (other than the Company) to enter into and perform its obligations under the Investment Agreement and the relevant transaction provided for under the Board Resolution and that all consents or approvals from and filings, registrations and notifications with or to all governmental authorities (other than in Switzerland) required in connection with the execution, delivery and performance of the Investment Agreement have been or will have been obtained or made and are or will remain in full force and effect;</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Agreement constitutes legal, valid, binding and enforceable obligations of the Company under the governing law;</w:t>
      </w:r>
    </w:p>
    <w:p>
      <w:pPr>
        <w:spacing w:after="0" w:line="130" w:lineRule="exact"/>
        <w:rPr>
          <w:rFonts w:ascii="Times New Roman" w:cs="Times New Roman" w:eastAsia="Times New Roman" w:hAnsi="Times New Roman"/>
          <w:sz w:val="18"/>
          <w:szCs w:val="18"/>
          <w:color w:val="auto"/>
        </w:rPr>
      </w:pPr>
    </w:p>
    <w:p>
      <w:pPr>
        <w:ind w:left="540" w:right="40" w:hanging="532"/>
        <w:spacing w:after="0" w:line="254"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Filing Documents will continue to be effective, (ii) the issuance of and payment for the Offered Shares will be made in compliance with the Articles, the Registration Statement, the AGM Resolution, the Board Resolution and the Investment Agreement, (iii) the consideration received by the Company for the issuance of the Offered Shares will be fully paid and will not be less than the par value of such Offered Shares, and (iv) the issuance of the Offered Shares will be made in accordance with the articles 653s–653v, 647– 652h, 929–930, 936a–937, 943 and 973c of the Swiss Code of Obligations (</w:t>
      </w: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color w:val="auto"/>
        </w:rPr>
        <w:t>), the relevant intermediated securities regulations and commercial registry regulations, the Articles (as may be amended from time to time in accordance with applicable law), the Organizational Regulations (as may be amended from time to time in accordance with applicable law), any applicable law or any requirement or restriction imposed by any court or governmental body having jurisdiction on the Company;</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7</w:t>
      </w:r>
    </w:p>
    <w:p>
      <w:pPr>
        <w:sectPr>
          <w:pgSz w:w="11900" w:h="16838" w:orient="portrait"/>
          <w:cols w:equalWidth="0" w:num="1">
            <w:col w:w="10600"/>
          </w:cols>
          <w:pgMar w:left="860" w:top="931" w:right="439" w:bottom="1440" w:gutter="0" w:footer="0" w:header="0"/>
        </w:sectPr>
      </w:pPr>
    </w:p>
    <w:bookmarkStart w:id="7" w:name="page8"/>
    <w:bookmarkEnd w:id="7"/>
    <w:p>
      <w:pPr>
        <w:ind w:left="964" w:right="140" w:hanging="532"/>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25550"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25755"/>
                    </a:xfrm>
                    <a:prstGeom prst="rect">
                      <a:avLst/>
                    </a:prstGeom>
                    <a:noFill/>
                  </pic:spPr>
                </pic:pic>
              </a:graphicData>
            </a:graphic>
          </wp:anchor>
        </w:drawing>
        <w:t>that the issuance, transfers, offering and sale of the Offered Shares will be conducted in the manner as described in the Articles, the Filing Documents, the Investment Agreement and the Board Resolution;</w:t>
      </w:r>
    </w:p>
    <w:p>
      <w:pPr>
        <w:spacing w:after="0" w:line="67" w:lineRule="exact"/>
        <w:rPr>
          <w:rFonts w:ascii="Times New Roman" w:cs="Times New Roman" w:eastAsia="Times New Roman" w:hAnsi="Times New Roman"/>
          <w:sz w:val="18"/>
          <w:szCs w:val="18"/>
          <w:color w:val="auto"/>
        </w:rPr>
      </w:pPr>
    </w:p>
    <w:p>
      <w:pPr>
        <w:ind w:left="964" w:right="120" w:hanging="532"/>
        <w:spacing w:after="0" w:line="266"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Offered Shares have not been and will not be (i) publicly offered, directly or indirectly, in Switzerland within the meaning of article 3 lit. h of the Swiss Financial Services Act of June 15, 2018, and/or (ii) admitted to any trading venue within the meaning of article 26 lit. a of the Swiss Financial Market Infrastructure Act of June 19, 2015 in Switzerland; and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parties to the Investment Agreement will perform all obligations by which they are bound in accordance with the respective terms.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upon the foregoing and subject to the qualifications set out below, we are of the following opinion:</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Offered Shares, if and when issued, will be validly issued, fully paid in (up to their nominal value) and non-assessable.</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above opinion is subject to the following qualifications:</w:t>
      </w:r>
    </w:p>
    <w:p>
      <w:pPr>
        <w:spacing w:after="0" w:line="134" w:lineRule="exact"/>
        <w:rPr>
          <w:rFonts w:ascii="Times New Roman" w:cs="Times New Roman" w:eastAsia="Times New Roman" w:hAnsi="Times New Roman"/>
          <w:sz w:val="18"/>
          <w:szCs w:val="18"/>
          <w:b w:val="1"/>
          <w:bCs w:val="1"/>
          <w:color w:val="auto"/>
        </w:rPr>
      </w:pPr>
    </w:p>
    <w:p>
      <w:pPr>
        <w:ind w:left="964" w:right="180" w:hanging="532"/>
        <w:spacing w:after="0" w:line="266"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lawyers of our firm are members of the Swiss bar and do not hold themselves to be experts in any laws other than the laws of Switzerland. Accordingly, we are opining herein as to Swiss law only and we express no opinion with respect to the applicability thereto, or the effect thereon, of the laws of any other jurisdiction.</w:t>
      </w:r>
    </w:p>
    <w:p>
      <w:pPr>
        <w:spacing w:after="0" w:line="81"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based on the current provisions of the laws of Switzerland and the regulations thereunder in effect on the date hereof and only as currently interpreted in Switzerland. Such laws and their interpretation are subject to change.</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7</w:t>
      </w:r>
    </w:p>
    <w:p>
      <w:pPr>
        <w:sectPr>
          <w:pgSz w:w="11900" w:h="16838" w:orient="portrait"/>
          <w:cols w:equalWidth="0" w:num="1">
            <w:col w:w="11024"/>
          </w:cols>
          <w:pgMar w:left="436" w:top="931" w:right="439" w:bottom="1440" w:gutter="0" w:footer="0" w:header="0"/>
        </w:sectPr>
      </w:pPr>
    </w:p>
    <w:bookmarkStart w:id="8" w:name="page9"/>
    <w:bookmarkEnd w:id="8"/>
    <w:p>
      <w:pPr>
        <w:ind w:left="964" w:right="220" w:hanging="532"/>
        <w:spacing w:after="0" w:line="284"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2555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25755"/>
                    </a:xfrm>
                    <a:prstGeom prst="rect">
                      <a:avLst/>
                    </a:prstGeom>
                    <a:noFill/>
                  </pic:spPr>
                </pic:pic>
              </a:graphicData>
            </a:graphic>
          </wp:anchor>
        </w:drawing>
        <w:t>We express no opinion as regards the withdrawal of shareholders’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in connection with the issuance and sale of Offered Shares.</w:t>
      </w:r>
    </w:p>
    <w:p>
      <w:pPr>
        <w:spacing w:after="0" w:line="65"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this opinion, the term “non-assessable” means that no further contributions have to be made to the Company by the relevant holder of the Offered Shares.</w:t>
      </w:r>
    </w:p>
    <w:p>
      <w:pPr>
        <w:spacing w:after="0" w:line="67" w:lineRule="exact"/>
        <w:rPr>
          <w:rFonts w:ascii="Times New Roman" w:cs="Times New Roman" w:eastAsia="Times New Roman" w:hAnsi="Times New Roman"/>
          <w:sz w:val="18"/>
          <w:szCs w:val="18"/>
          <w:color w:val="auto"/>
        </w:rPr>
      </w:pPr>
    </w:p>
    <w:p>
      <w:pPr>
        <w:ind w:left="964" w:right="500" w:hanging="532"/>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the future availability of authorized share capital within any capital band of the Company or conditional capital of the Company.</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the accuracy or completeness of the information contained in the Filing Documents.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any commercial, calculating, auditing or other non-legal matters. Further, we express no opinion as to tax law.</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4" w:lineRule="exact"/>
        <w:rPr>
          <w:rFonts w:ascii="Times New Roman" w:cs="Times New Roman" w:eastAsia="Times New Roman" w:hAnsi="Times New Roman"/>
          <w:sz w:val="18"/>
          <w:szCs w:val="18"/>
          <w:b w:val="1"/>
          <w:bCs w:val="1"/>
          <w:color w:val="auto"/>
        </w:rPr>
      </w:pPr>
    </w:p>
    <w:p>
      <w:pPr>
        <w:ind w:left="964" w:right="220" w:hanging="532"/>
        <w:spacing w:after="0" w:line="28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assume any obligation to advise you of any changes in applicable law or any other matter that may come to our attention after the date hereof that may affect our opinion expressed herein.</w:t>
      </w:r>
    </w:p>
    <w:p>
      <w:pPr>
        <w:spacing w:after="0" w:line="67"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consent to the filing of this opinion on the date hereof with the United States Securities and Exchange Commission as an exhibit to the Registration Statement and to the incorporation by reference of this opinion in the Registration Statement. In giving this consent, we do not admit that we are in the category of persons whose consent is required under Section 7 of the Securities Act.</w:t>
      </w:r>
    </w:p>
    <w:p>
      <w:pPr>
        <w:spacing w:after="0" w:line="81" w:lineRule="exact"/>
        <w:rPr>
          <w:rFonts w:ascii="Times New Roman" w:cs="Times New Roman" w:eastAsia="Times New Roman" w:hAnsi="Times New Roman"/>
          <w:sz w:val="18"/>
          <w:szCs w:val="18"/>
          <w:color w:val="auto"/>
        </w:rPr>
      </w:pPr>
    </w:p>
    <w:p>
      <w:pPr>
        <w:ind w:left="964" w:right="400" w:hanging="532"/>
        <w:spacing w:after="0" w:line="26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and all matters relating to this opinion are governed by and shall be construed in accordance with the substantive laws of Switzerland. We confirm our understanding that all disputes arising out of or in connection with this opinion shall be subject to the exclusive jurisdiction of the courts of the Canton of Zurich, Switzerland, venue being city of Zurich.</w:t>
      </w:r>
    </w:p>
    <w:p>
      <w:pPr>
        <w:spacing w:after="0" w:line="108" w:lineRule="exact"/>
        <w:rPr>
          <w:sz w:val="20"/>
          <w:szCs w:val="20"/>
          <w:color w:val="auto"/>
        </w:rPr>
      </w:pPr>
    </w:p>
    <w:p>
      <w:pPr>
        <w:ind w:left="10204"/>
        <w:spacing w:after="0"/>
        <w:rPr>
          <w:sz w:val="20"/>
          <w:szCs w:val="20"/>
          <w:color w:val="auto"/>
        </w:rPr>
      </w:pPr>
      <w:r>
        <w:rPr>
          <w:rFonts w:ascii="Times New Roman" w:cs="Times New Roman" w:eastAsia="Times New Roman" w:hAnsi="Times New Roman"/>
          <w:sz w:val="18"/>
          <w:szCs w:val="18"/>
          <w:color w:val="auto"/>
        </w:rPr>
        <w:t>Page 6 of 7</w:t>
      </w:r>
    </w:p>
    <w:p>
      <w:pPr>
        <w:sectPr>
          <w:pgSz w:w="11900" w:h="16838" w:orient="portrait"/>
          <w:cols w:equalWidth="0" w:num="1">
            <w:col w:w="11024"/>
          </w:cols>
          <w:pgMar w:left="436" w:top="929"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25550"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25755"/>
                    </a:xfrm>
                    <a:prstGeom prst="rect">
                      <a:avLst/>
                    </a:prstGeom>
                    <a:noFill/>
                  </pic:spPr>
                </pic:pic>
              </a:graphicData>
            </a:graphic>
          </wp:anchor>
        </w:drawing>
        <w:t>Yours faithfully,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Walder Wyss AG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Alex Nikitine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Nikitine</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 of 7</w:t>
      </w:r>
    </w:p>
    <w:p>
      <w:pPr>
        <w:sectPr>
          <w:pgSz w:w="11900" w:h="16838" w:orient="portrait"/>
          <w:cols w:equalWidth="0" w:num="1">
            <w:col w:w="11020"/>
          </w:cols>
          <w:pgMar w:left="440" w:top="931"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AGREEMENT</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This INVESTMENT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February 13, 2024, by and among CRISPR Therapeutics AG, a stock corporation (Aktiengesellschaft) incorporated under the laws of Switzerland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Investors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A. The Investors, severally and not jointly, wish to subscribe for, and the Company wishes to issue to the Investors, upon the terms and subject to the conditions stated in this Agreement and pursuant to an effective registration statement under the Securities Act (as defined below), common shares, nominal value CHF 0.03 per share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the Company; and</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made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the following terms shall have the meanings set forth below:</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means another Person that directly or indirectly, through one or more intermediaries, controls, is controlled by, or is under common control with, such first-mentioned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means the Articles of Association of the Company, as in effect as of the date hereof.</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or a legal holiday or a day on which banking institutions or trust companies are authorized or obligated by law to close in New York, New York and in Zug, Switzerland.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 Equivalents</w:t>
      </w:r>
      <w:r>
        <w:rPr>
          <w:rFonts w:ascii="Times New Roman" w:cs="Times New Roman" w:eastAsia="Times New Roman" w:hAnsi="Times New Roman"/>
          <w:sz w:val="18"/>
          <w:szCs w:val="18"/>
          <w:color w:val="auto"/>
        </w:rPr>
        <w:t>” means any securities of the Company or its subsidiaries which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Knowledge</w:t>
      </w:r>
      <w:r>
        <w:rPr>
          <w:rFonts w:ascii="Times New Roman" w:cs="Times New Roman" w:eastAsia="Times New Roman" w:hAnsi="Times New Roman"/>
          <w:sz w:val="18"/>
          <w:szCs w:val="18"/>
          <w:color w:val="auto"/>
        </w:rPr>
        <w:t>” means the actual knowledge of the executive officers (as defined in Rule 405 under the Securities Act) of the Company.</w:t>
      </w:r>
    </w:p>
    <w:p>
      <w:pPr>
        <w:sectPr>
          <w:pgSz w:w="11900" w:h="16838" w:orient="portrait"/>
          <w:cols w:equalWidth="0" w:num="1">
            <w:col w:w="11020"/>
          </w:cols>
          <w:pgMar w:left="440" w:top="117" w:right="439" w:bottom="1440" w:gutter="0" w:footer="0" w:header="0"/>
        </w:sectPr>
      </w:pPr>
    </w:p>
    <w:bookmarkStart w:id="11" w:name="page12"/>
    <w:bookmarkEnd w:id="11"/>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left="4" w:right="2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Disclosure Time</w:t>
      </w:r>
      <w:r>
        <w:rPr>
          <w:rFonts w:ascii="Times New Roman" w:cs="Times New Roman" w:eastAsia="Times New Roman" w:hAnsi="Times New Roman"/>
          <w:sz w:val="17"/>
          <w:szCs w:val="17"/>
          <w:color w:val="auto"/>
        </w:rPr>
        <w:t>” means, (i) if this Agreement is signed on a day that is not a Trading Day or after 9:00 a.m. (New York City time) and before midnight (New York City time) on any Trading Day, 9:01 a.m. (New York City time) on the Trading Day immediately following the date hereof, and</w:t>
      </w:r>
    </w:p>
    <w:p>
      <w:pPr>
        <w:spacing w:after="0" w:line="1" w:lineRule="exact"/>
        <w:rPr>
          <w:sz w:val="20"/>
          <w:szCs w:val="20"/>
          <w:color w:val="auto"/>
        </w:rPr>
      </w:pPr>
    </w:p>
    <w:p>
      <w:pPr>
        <w:ind w:left="4" w:right="20" w:hanging="4"/>
        <w:spacing w:after="0" w:line="260"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signed between midnight (New York City time) and 9:00 a.m. (New York City time) on any Trading Day, no later than 9:01 a.m. (New York City time) on the date hereof.</w:t>
      </w:r>
    </w:p>
    <w:p>
      <w:pPr>
        <w:spacing w:after="0" w:line="181"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Exempt Issuance</w:t>
      </w:r>
      <w:r>
        <w:rPr>
          <w:rFonts w:ascii="Times New Roman" w:cs="Times New Roman" w:eastAsia="Times New Roman" w:hAnsi="Times New Roman"/>
          <w:sz w:val="17"/>
          <w:szCs w:val="17"/>
          <w:color w:val="auto"/>
        </w:rPr>
        <w:t>” means the issuance of (a) Common Shares, options or restricted stock units or other equity awards to employees, officers, service providers or directors of the Company pursuant to any stock or option plan or arrangement duly adopted for such purpose, by a majority of the non-employee members of the Board of Directors of the Company or a majority of the members of a committee of non-employee directors established for such purpose for services rendered to the Company, (b) securities upon the exercise or exchange of or conversion of securities exercisable or exchangeable for or convertible into Common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7.5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w:t>
      </w:r>
    </w:p>
    <w:p>
      <w:pPr>
        <w:spacing w:after="0" w:line="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securities issued under, or in connection with, an “at the market” offering facility or “equity line” facility.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Issue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means the Lock-Up Agreement, dated as of the date hereof, by and among the Company and the Company’s directors and officers, in the form of Exhibit C attached hereto.</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 material adverse effect on (i) the assets, liabilities, results of operations, financial condition or business of the Company taken as a whole, (ii) the legality or enforceability of any of the Transaction Documents or (iii) the ability of the Company to perform its obligations under the Transaction Documents, except that for purposes of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of this Agreement, in no event shall a change in the market price of the Common Shares alone constitute a “Material Adverse Effect.”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2" w:name="page13"/>
    <w:bookmarkEnd w:id="12"/>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Trading Market on which the Common Shares are primarily listed on and quoted for trading, which, as of the date of this Agreement and the Closing Date, shall be the Nasdaq Global Market.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the Registration Statement, at the time it was declared effective by the SEC.</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SEC and delivered by the Company to each Investor on or prior to the date hereof.</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automatic shelf registration statement on Form S-3ASR filed with the SEC on July 29, 2021 (File No. 333-258274), including all information, documents and exhibits filed with or incorporated by reference into such registration statement, which registers the sale of the Common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Company’s Common Shares issued or issuable pursuant to this Agreement.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the location and/or reservation of borrowable shares of Common Shares).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(i) a day on which the Common Shares are listed or quoted and traded on its Principal Trading Market or (ii) if the Common Shares are not quoted on any Trading Market, a day on which the Common Shares are quoted in the over-the-counter market as reported in the “pink sheets” by OTC Markets Group Inc. (or any similar organization or agency succeeding to its functions of reporting prices); provided, that in the event that the Common Shares are not listed or quoted as set forth in (i) or (ii) hereof, then Trading Day shall mean a Business Day.</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whichever of the New York Stock Exchange, the NYSE American, the Nasdaq Global Select Market, the Nasdaq Global Market or the Nasdaq Capital Market on which the Common Shares are listed or quoted for trading on the date in question.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the Prospectus Supplement.</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the transfer agent and registrar of our Common Shares, Equiniti Trust Company, LLC (formerly known as American Stock Transfer and Trust Company LLC).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3" w:name="page14"/>
    <w:bookmarkEnd w:id="13"/>
    <w:p>
      <w:pPr>
        <w:ind w:right="220" w:firstLine="436"/>
        <w:spacing w:after="0" w:line="26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and Subscription for the Shares</w:t>
      </w:r>
      <w:r>
        <w:rPr>
          <w:rFonts w:ascii="Times New Roman" w:cs="Times New Roman" w:eastAsia="Times New Roman" w:hAnsi="Times New Roman"/>
          <w:sz w:val="18"/>
          <w:szCs w:val="18"/>
          <w:color w:val="auto"/>
        </w:rPr>
        <w:t xml:space="preserve">. On the Closing Date, upon the terms and subject to the conditions set forth herein, the Company will issue to the Investors, and the Investors will subscribe for, severally and not jointly, the number of Shares set forth opposite the name of such Investor under the heading “Number of Shares Acquired”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issue price per Share shall be $71.50.</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 Upon the satisfaction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completion of the issuance of the Shares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remotely via exchange of documents and signatures at a time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to be agreed to by the Company and the Investors but in no event later than the tenth Trading Day after the date hereof.</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3.2. Promptly following the signing of the Agreement, each Investor shall initiate a wire transfer for delivery to the blocked bank account (</w:t>
      </w:r>
      <w:r>
        <w:rPr>
          <w:rFonts w:ascii="Times New Roman" w:cs="Times New Roman" w:eastAsia="Times New Roman" w:hAnsi="Times New Roman"/>
          <w:sz w:val="18"/>
          <w:szCs w:val="18"/>
          <w:i w:val="1"/>
          <w:iCs w:val="1"/>
          <w:color w:val="auto"/>
        </w:rPr>
        <w:t>Kapitaleinzahlungskonto</w:t>
      </w:r>
      <w:r>
        <w:rPr>
          <w:rFonts w:ascii="Times New Roman" w:cs="Times New Roman" w:eastAsia="Times New Roman" w:hAnsi="Times New Roman"/>
          <w:sz w:val="18"/>
          <w:szCs w:val="18"/>
          <w:color w:val="auto"/>
        </w:rPr>
        <w:t>) of the Company at UBS Switzerland AG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xml:space="preserve">”) according to the wire instructions provided by the Company, an amount equal to the issue price to be paid by the Investor for the Shares issued to it as set forth opposite the name of such Investor under the heading “Aggregate Issue Price of the Shares”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Investor Issue Price</w:t>
      </w:r>
      <w:r>
        <w:rPr>
          <w:rFonts w:ascii="Times New Roman" w:cs="Times New Roman" w:eastAsia="Times New Roman" w:hAnsi="Times New Roman"/>
          <w:sz w:val="18"/>
          <w:szCs w:val="18"/>
          <w:color w:val="auto"/>
        </w:rPr>
        <w:t>”). Each Investor shall use commercially reasonable best efforts to cause such funds to be delivered to such blocked bank account by 5:00 p.m. Eastern time on the date that is one Trading Day after the date of this Agreement; provided that no Investor shall be deemed to be in breach of the foregoing if such wire transfer is received by 5:00 p.m. Eastern time on the date that is two Trading Days after the date of this Agreement or if such wire transfer is delayed due to the Investor not receiving US intermediary bank details as requested.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Should such Shares not be issued or delivered to the Investor by the tenth Trading Day after the date hereof, the Company shall use commercially reasonable best efforts to cause the Bank to deliver, via wire transfer of immediately available funds, an amount equal to the Investor Issue Price funded by such Investor to such Investor promptly and, in any event, no later than one Business Day after the tenth Trading Day after the date hereof (the “</w:t>
      </w:r>
      <w:r>
        <w:rPr>
          <w:rFonts w:ascii="Times New Roman" w:cs="Times New Roman" w:eastAsia="Times New Roman" w:hAnsi="Times New Roman"/>
          <w:sz w:val="18"/>
          <w:szCs w:val="18"/>
          <w:u w:val="single" w:color="auto"/>
          <w:color w:val="auto"/>
        </w:rPr>
        <w:t>Return Date</w:t>
      </w:r>
      <w:r>
        <w:rPr>
          <w:rFonts w:ascii="Times New Roman" w:cs="Times New Roman" w:eastAsia="Times New Roman" w:hAnsi="Times New Roman"/>
          <w:sz w:val="18"/>
          <w:szCs w:val="18"/>
          <w:color w:val="auto"/>
        </w:rPr>
        <w:t>” and, such return, the “</w:t>
      </w:r>
      <w:r>
        <w:rPr>
          <w:rFonts w:ascii="Times New Roman" w:cs="Times New Roman" w:eastAsia="Times New Roman" w:hAnsi="Times New Roman"/>
          <w:sz w:val="18"/>
          <w:szCs w:val="18"/>
          <w:u w:val="single" w:color="auto"/>
          <w:color w:val="auto"/>
        </w:rPr>
        <w:t>Bank Return</w:t>
      </w:r>
      <w:r>
        <w:rPr>
          <w:rFonts w:ascii="Times New Roman" w:cs="Times New Roman" w:eastAsia="Times New Roman" w:hAnsi="Times New Roman"/>
          <w:sz w:val="18"/>
          <w:szCs w:val="18"/>
          <w:color w:val="auto"/>
        </w:rPr>
        <w:t>”). Should the Bank Return not be made by the Bank to such Investor in accordance with the foregoing, the Company shall promptly and, in any event, no later than one Business Day after the Return Date, deliver, via wire transfer of immediately available funds, an amount equal to the Investor Issue Price funded by such Investor (the “</w:t>
      </w:r>
      <w:r>
        <w:rPr>
          <w:rFonts w:ascii="Times New Roman" w:cs="Times New Roman" w:eastAsia="Times New Roman" w:hAnsi="Times New Roman"/>
          <w:sz w:val="18"/>
          <w:szCs w:val="18"/>
          <w:u w:val="single" w:color="auto"/>
          <w:color w:val="auto"/>
        </w:rPr>
        <w:t>Company Return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The Company’s payment of a Company Return to an Investor shall be conditional upon such Investor releasing and discharging the Company and its affiliates in full for any damages, claims and any demands solely relating to any rights of refund for its Investor Issue Price. To the extent such Investor receives the Shares set forth opposite the name of such Investor under the heading “Number of Shares Acquired”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or the Bank Return and has also received the Company Return, as the case may be, such Investor shall promptly, and in any event within two Business Days after it has come into possession of both (i) the Company Return and (ii) either such Shares or the Bank Return, deliver to the Company, via wire transfer of immediately available funds, an amount equal to the Company Return.</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3.3. On the date hereof, each Investor (or a broker designated by such Investor) shall subscribe for the number of Shares set forth opposite the name of such Investor under the heading “Number of Shares Acquired”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shall execute and deliver or cause to be delivered to the Company an original subscription form regarding such subscription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4" w:name="page15"/>
    <w:bookmarkEnd w:id="14"/>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At the Closing, the Company shall (i) take (or procure to be taken) all necessary actions to increase the share capital of the Company and issue to each Investor (or a broker designated by such Investor) the number of Shares set forth opposite the name of such Investor under the heading “Number of Shares Acquired”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(ii) deliver or cause the Transfer Agent to deliver to each Investor (or a broker designated by such Investor) the number of Shares set forth opposite the name of such Investor under the heading “Number of Shares Acquired”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by electronic delivery at Investor’s designated balance account at the Depository Trust Company.</w:t>
      </w:r>
    </w:p>
    <w:p>
      <w:pPr>
        <w:spacing w:after="0" w:line="183" w:lineRule="exact"/>
        <w:rPr>
          <w:sz w:val="20"/>
          <w:szCs w:val="20"/>
          <w:color w:val="auto"/>
        </w:rPr>
      </w:pPr>
    </w:p>
    <w:p>
      <w:pPr>
        <w:ind w:right="160" w:firstLine="436"/>
        <w:spacing w:after="0" w:line="26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The Company hereby represents and warrants to the Investors as of the date hereof and as of the Closing Date that, except as described in the Company’s SEC Filings (excluding any exhibits to the SEC Filings), each of which qualifies the representations and warranties below in their entirety, the points as set forth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true and correct (for purposes of these representations and warranties, the term the “Company” shall include any subsidiaries of the Company, unless otherwise noted herein):</w:t>
      </w:r>
    </w:p>
    <w:p>
      <w:pPr>
        <w:spacing w:after="0" w:line="180" w:lineRule="exact"/>
        <w:rPr>
          <w:sz w:val="20"/>
          <w:szCs w:val="20"/>
          <w:color w:val="auto"/>
        </w:rPr>
      </w:pPr>
    </w:p>
    <w:p>
      <w:pPr>
        <w:ind w:right="120" w:firstLine="991"/>
        <w:spacing w:after="0" w:line="277"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Incorporation and Good Standing</w:t>
      </w:r>
      <w:r>
        <w:rPr>
          <w:rFonts w:ascii="Times New Roman" w:cs="Times New Roman" w:eastAsia="Times New Roman" w:hAnsi="Times New Roman"/>
          <w:sz w:val="17"/>
          <w:szCs w:val="17"/>
          <w:color w:val="auto"/>
        </w:rPr>
        <w:t>. Each of the Company and its subsidiaries has been duly incorporated and is validly existing as a corporation in good standing (to the extent such concept is applicable) under the laws of the jurisdiction in which it is chartered or organized with full corporate power and authority to own or lease, as the case may be, and to operate its properties and conduct its business as described in the Prospectus, and is duly qualified to do business as a foreign corporation and is in good standing under the laws of each jurisdiction which requires such qualification, except where the failure to qualify would not reasonably be expected, individually or in the aggregate, to have a Material Adverse Effect.</w:t>
      </w:r>
    </w:p>
    <w:p>
      <w:pPr>
        <w:spacing w:after="0" w:line="16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the requisite corporate power and authority and has taken all requisite corporate action necessary for, and no further action on the part of the Company, its officers, directors and shareholders is necessary for, the authorization, execution and delivery of the Transaction Documents. The Transaction Documents constitute the legal, valid and binding obligations of the Company, enforceable against the Company in accordance with their terms, subject to bankruptcy, insolvency, fraudulent transfer, reorganization, moratorium and similar laws of general applicability, relating to or affecting creditors’ rights generally and to general equitable principles. As of the Closing Date, the Company has taken all requisite corporate action necessary for, and no further action on the part of the Company, its officers, directors and shareholders is necessary for, (i) the authorization of the performance of all obligations of the Company under the Transaction Documents, and (ii) the authorization, issuance (or reservation for issuance) and delivery of the Shares.</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share capital recorded in the commercial register is CHF 2,506,150.41 and is fully paid-in. It is divided into 83,538,347 Common Shares. The issued Shares are fully paid, non-assessable, and rank pari-passu with each other and all other shares. The Company’s disclosure of its issued and outstanding share capital in its most recent SEC Filing containing such disclosure was accurate in all material respects as of the date indicated in such SEC Filing. All of the issued and outstanding shares of the Company’s share capital have been duly authorized and validly issued and are fully paid and nonassessable (which term means when used herein that no further contributions have to be made by the holders of the capital stock); none of such shares were issued in violation of any preemptive rights; and such shares were issued in compliance in all material respects with applicable state and federal securities law and any rights of third parties. As of Closing Date, all statutory preemptive rights to which the existing shareholders of the Company are entitled under Swiss law with respect to the capital increases described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have been validly withdrawn. Except for stock options and restricted stock units approved pursuant to the Company’s stock-based compensation plans described in the SEC Filings, there are no outstanding warrants, options, convertible securities or other rights, agreements or arrangements of any character under which the Company is or may be obligated to issue any equity securities of any kind, except as contemplated by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5" w:name="page16"/>
    <w:bookmarkEnd w:id="15"/>
    <w:p>
      <w:pPr>
        <w:ind w:left="4" w:right="10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Valid Issuance; Registration</w:t>
      </w:r>
      <w:r>
        <w:rPr>
          <w:rFonts w:ascii="Times New Roman" w:cs="Times New Roman" w:eastAsia="Times New Roman" w:hAnsi="Times New Roman"/>
          <w:sz w:val="18"/>
          <w:szCs w:val="18"/>
          <w:color w:val="auto"/>
        </w:rPr>
        <w:t>. The Shares will upon Closing be duly authorized and, when issued and paid for in accordance with the applicable Transaction Documents, will be duly and validly issued, fully paid and nonassessable (which term means when used herein that no further contributions have to be made by the holders of the capital stock), free and clear of all liens imposed by the Company. The Shares are being offered, issued, and sold under the Registration Statement and the Prospectus. The Company has prepared and filed the Registration Statement in conformity with the requirements of the Securities Act,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SEC and no proceedings for that purpose have been instituted or, to the knowledge of the Company, are threatened in writing by the SEC. The Company, if required by the rules and regulations of the SEC, shall file the Prospectus Supplement with the SEC pursuant to Rule 424(b). At the time the Registration Statement and any post-effective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Supplement and any amendments or supplements thereto, at the time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is eligible to use Form S-3 under the Securities Act and it meets the transaction requirements as set forth in General Instruction I.B.1 of Form S-3.</w:t>
      </w:r>
    </w:p>
    <w:p>
      <w:pPr>
        <w:spacing w:after="0" w:line="193" w:lineRule="exact"/>
        <w:rPr>
          <w:sz w:val="20"/>
          <w:szCs w:val="20"/>
          <w:color w:val="auto"/>
        </w:rPr>
      </w:pPr>
    </w:p>
    <w:p>
      <w:pPr>
        <w:ind w:left="4"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Subject to the accuracy of the representations and warranties of each Investor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the execution, delivery and performance by the Company of the Transaction Documents and the offer and issuance of the Shares require no consent of, action by or in respect of, or filing with, any Person, governmental body, agency, or official other than (a) filings that have been made pursuant to applicable state securities laws, (b) resolutions and filings that have been or will be made and all other actions that have been or will be taken pursuant to applicable Swiss law in order to effect the transactions contemplated by the Transaction Documents, in particular the share capital increase described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(c) post-issuance filings pursuant to applicable state and federal securities laws, and (d) filings pursuant to the rules and regulations of Nasdaq, each of which the Company has filed or undertakes to file within the applicable time. Subject to the accuracy of the representations and warranties of each Investor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the Company, as of Closing Date, has taken all action necessary to exempt (i) the issuance of</w:t>
      </w:r>
    </w:p>
    <w:p>
      <w:pPr>
        <w:spacing w:after="0" w:line="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the Shares and (ii) the other transactions contemplated by the Transaction Documents from the provisions of any shareholder rights plan or other “poison pill” arrangement, any anti-takeover, business combination or control share law or statute binding on the Company or to which the Company or any of its assets and properties is subject that is or could reasonably be expected to become applicable to the Investors as a result of the transactions contemplated hereby, including without limitation, the issuance of the Shares or the exercise of any right granted to the Investors pursuant to the Transaction Documents.</w:t>
      </w:r>
    </w:p>
    <w:p>
      <w:pPr>
        <w:spacing w:after="0" w:line="187" w:lineRule="exact"/>
        <w:rPr>
          <w:sz w:val="20"/>
          <w:szCs w:val="20"/>
          <w:color w:val="auto"/>
        </w:rPr>
      </w:pPr>
    </w:p>
    <w:p>
      <w:pPr>
        <w:ind w:left="4" w:right="1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No Material Adverse Effect</w:t>
      </w:r>
      <w:r>
        <w:rPr>
          <w:rFonts w:ascii="Times New Roman" w:cs="Times New Roman" w:eastAsia="Times New Roman" w:hAnsi="Times New Roman"/>
          <w:sz w:val="17"/>
          <w:szCs w:val="17"/>
          <w:color w:val="auto"/>
        </w:rPr>
        <w:t>. No action, suit or proceeding by or before any court or governmental agency, authority or body or any arbitrator involving the Company or any of its subsidiaries or its or their property is pending or, to the best knowledge of the Company, threatened that</w:t>
      </w:r>
    </w:p>
    <w:p>
      <w:pPr>
        <w:spacing w:after="0" w:line="1" w:lineRule="exact"/>
        <w:rPr>
          <w:sz w:val="20"/>
          <w:szCs w:val="20"/>
          <w:color w:val="auto"/>
        </w:rPr>
      </w:pPr>
    </w:p>
    <w:p>
      <w:pPr>
        <w:ind w:left="4" w:right="40" w:hanging="4"/>
        <w:spacing w:after="0" w:line="255"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to have a material adverse effect on the performance of this Agreement or the consummation of any of the transactions contemplated hereby or (ii) would reasonably be expected to have a Material Adverse Effect, except as set forth in or contemplated in the Registration Statement and the Prospectus.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6" w:name="page17"/>
    <w:bookmarkEnd w:id="16"/>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one year period preceding the date hereof (or such shorter period as the Company was required by law or regulation to file such material) (collectively, and together with the Prospectus and the Prospectus Supplement, the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At the time of filing thereof, the SEC Filings complied in all material respects with the requirements of the Securities Act or the Exchange Act, as applicable, and the rules and regulations of the SEC thereunder.</w:t>
      </w:r>
    </w:p>
    <w:p>
      <w:pPr>
        <w:spacing w:after="0" w:line="183"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subsidiary is in violation or default of (i) any provision of its Articles of Association,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for such violation or default as would not reasonably be expected to have a Material Adverse Effect.</w:t>
      </w:r>
    </w:p>
    <w:p>
      <w:pPr>
        <w:spacing w:after="0" w:line="187"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Ernst &amp; Young LLP, who have certified certain financial statements of the Company and its consolidated subsidiaries and delivered their report with respect to the audited consolidated financial statements and schedules included in the Registration Statement and the Prospectus, are independent public accountants with respect to the Company within the meaning of the Securities Act and the applicable published rules and regulations thereunder.</w:t>
      </w:r>
    </w:p>
    <w:p>
      <w:pPr>
        <w:spacing w:after="0" w:line="18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The Company has filed all tax returns that are required to be filed or has requested extensions thereof (except in any case in which the failure so to file would not reasonably be expected to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reasonably be expected to have a Material Adverse Effect. To the Company’s knowledge, there are no transfer taxes or other similar fees or charges under federal law or the laws of any state, or any political subdivision thereof, required to be paid in connection with the execution and delivery of this Agreement or the issuance by the Company or sale by the Company of the Shares, except Swiss issuance stamp duty, which is being paid by the Company.</w:t>
      </w:r>
    </w:p>
    <w:p>
      <w:pPr>
        <w:spacing w:after="0" w:line="189"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xml:space="preserve">. Each of the Company and each of its subsidiaries owns or leases all such properties as are necessary to the conduct of its operations as presently conducted, except for intellectual property which is separately addressed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and except as would not reasonably be expected to have a Material Adverse Effect.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The Company and its subsidiaries possess all licenses, certificates, permits and other authorizations required to be issued by all applicable authorities necessary to conduct their respective businesses, except where the failure to possess such licenses, certificates, permits and other authorizations would not, singly or in the aggregate, reasonably be expected to have a Material Adverse Effect, and neither the Company nor any such subsidiary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7" w:name="page18"/>
    <w:bookmarkEnd w:id="17"/>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possess, license or have other rights to use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that are described in the Registration Statement and the Prospectus as being owned by the Company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or, to the Company’s knowledge and except as described in the Registration Statement and the Prospectus, are necessary for the conduct of the Company’s business as now conducted or as proposed in the Registration Statement and the Prospectus to be conducted. Except as described in the Registration Statement and the Prospectus, all licenses and other agreements pursuant to which the Company grants or is granted any license, covenant not to sue, or other rights, title or interests with respect to Company Intellectual Property is a valid and binding agreement of the Company, is in full force and effect, and is enforceable against the Company, and no party is in default under, or in breach or violation of, any such license or agreement. Except as set forth in the Registration Statement and the Prospectus (a) there are no rights of third parties to any Company Intellectual Property; (b) there is no material infringement by third parties of any Company Intellectual Property; (c) the Company and its subsidiaries are not obligated to pay a material royalty, grant a license to, or provide other material consideration to any third party in connection with Company Intellectual Property; (d) there is no pending or threatened action, suit, proceeding or claim by others challenging the validity or scope of any Company Intellectual Property, and the Company is unaware of any facts which would form a reasonable basis for any such claim;</w:t>
      </w:r>
    </w:p>
    <w:p>
      <w:pPr>
        <w:spacing w:after="0" w:line="1" w:lineRule="exact"/>
        <w:rPr>
          <w:sz w:val="20"/>
          <w:szCs w:val="20"/>
          <w:color w:val="auto"/>
        </w:rPr>
      </w:pPr>
    </w:p>
    <w:p>
      <w:pPr>
        <w:ind w:left="4" w:right="20" w:hanging="4"/>
        <w:spacing w:after="0" w:line="251"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(f) all registrations and applications of Company Intellectual Property have been procured and maintained in accordance with applicable administrative and legal requirements, including timely payments of maintenance and other required fees; (g) the Company is unaware of any U.S. patent or published U.S. patent application with an allowed claim that is owned by a third party and is unlicensed by the Company, and which contains a claim that would be infringed by the manufacture, use or sale of the gene-editing technology known as and described in the Registration Statement and the Prospectus as CRISPR/Cas9; (h) there is no prior art of which the Company is aware that may render any U.S. patent held by the Company invalid or any U.S. patent application held by the Company un-patentable which has not been disclosed to the U.S. Patent and Trademark Office; and (i) the Company and its subsidiaries have taken reasonable measures to protect, maintain and safeguard the Company Intellectual Property, including the execution of appropriate nondisclosure and confidentiality agreements.</w:t>
      </w:r>
    </w:p>
    <w:p>
      <w:pPr>
        <w:spacing w:after="0" w:line="193" w:lineRule="exact"/>
        <w:rPr>
          <w:sz w:val="20"/>
          <w:szCs w:val="20"/>
          <w:color w:val="auto"/>
        </w:rPr>
      </w:pPr>
    </w:p>
    <w:p>
      <w:pPr>
        <w:ind w:left="4"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historical financial statements and schedules of the Company and its consolidated subsidiaries included or incorporated by reference in the Registration Statement and the Prospectus present fairly the financial condition, results of operations and cash flows of the Company as of the dates and for the periods indicated, comply as to form, in all material respects, with the applicable accounting requirements of the Securities Act and have been prepared in conformity with generally accepted accounting principles applied on a consistent basis throughout the periods involved (except as otherwise noted therein).</w:t>
      </w:r>
    </w:p>
    <w:p>
      <w:pPr>
        <w:spacing w:after="0" w:line="183"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Compliance with Nasdaq Continued Listing Requirements</w:t>
      </w:r>
      <w:r>
        <w:rPr>
          <w:rFonts w:ascii="Times New Roman" w:cs="Times New Roman" w:eastAsia="Times New Roman" w:hAnsi="Times New Roman"/>
          <w:sz w:val="18"/>
          <w:szCs w:val="18"/>
          <w:color w:val="auto"/>
        </w:rPr>
        <w:t>. The Company is in compliance with applicable Nasdaq continued listing requirements. There are no proceedings pending or, to the Company’s Knowledge, threatened against the Company relating to the continued listing of the Common Shares on Nasdaq and the Company has not received any notice of, nor to the Company’s Knowledge is there any reasonable basis for, the delisting of the Common Shares from Nasdaq.</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8" w:name="page19"/>
    <w:bookmarkEnd w:id="18"/>
    <w:p>
      <w:pPr>
        <w:jc w:val="both"/>
        <w:ind w:right="3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4.16.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xml:space="preserve">. Assuming the accuracy of the Investors’ representations and warranties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4.17. [Intentionally Omitted.]</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There is and has been no failure on the part of the Company and any of the Company’s directors or officers,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that are in effect and with which the Company is required to comply, including Section 402 relating to loans and Sections 302 and 906 relating to certifications. The Company and its subsidiaries maintain “disclosure controls and procedures” (as such term is defined in Rule 13a-15(e) under the Exchange Act); such disclosure controls and procedures are effective at the reasonable assurance level.</w:t>
      </w:r>
    </w:p>
    <w:p>
      <w:pPr>
        <w:spacing w:after="0" w:line="19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None of the executive officers or directors of the Company and, to the Company’s Knowledge, none of the employees of the Company is presently a party to any transaction with the Company (other than as holders of stock options, restricted stock units, warrants and/or restricted stock, and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Company’s Knowledge, any entity in which any officer, director, or any such employee has a substantial interest or is an officer, director, trustee or partner.</w:t>
      </w:r>
    </w:p>
    <w:p>
      <w:pPr>
        <w:spacing w:after="0" w:line="18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The Company is not and, after giving effect to the offering and issuance of the Shares and the application of the proceeds thereof as described in the Prospectus Supplement, will not be an “investment company” as defined in the Investment Company Act of 1940, as amended.</w:t>
      </w:r>
    </w:p>
    <w:p>
      <w:pPr>
        <w:spacing w:after="0" w:line="176"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Clinical Trials, Preclinical Studies and Tests</w:t>
      </w:r>
      <w:r>
        <w:rPr>
          <w:rFonts w:ascii="Times New Roman" w:cs="Times New Roman" w:eastAsia="Times New Roman" w:hAnsi="Times New Roman"/>
          <w:sz w:val="18"/>
          <w:szCs w:val="18"/>
          <w:color w:val="auto"/>
        </w:rPr>
        <w:t>. The clinical trials, preclinical studies and tests conducted by or, to Company’s Knowledge on behalf of the Company or its subsidiaries, or in which the Company or its subsidiaries has participated, that are described in the Registration Statement and the Prospectus, or the results of which are referred to in the Registration Statement and the Prospectus, were, and if still pending are, being conducted in all material respects in accordance with all applicable statutes and all applicable rules and regulations of the U.S. Food and Drug Administration and comparable regulatory agencies outside of the United States to which they are subject (collectively, the “</w:t>
      </w: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Authorities</w:t>
      </w:r>
      <w:r>
        <w:rPr>
          <w:rFonts w:ascii="Times New Roman" w:cs="Times New Roman" w:eastAsia="Times New Roman" w:hAnsi="Times New Roman"/>
          <w:sz w:val="18"/>
          <w:szCs w:val="18"/>
          <w:color w:val="auto"/>
        </w:rPr>
        <w:t>”); the descriptions in the Registration Statement and the Prospectus of the results of such clinical trials, preclinical studies and tests are accurate and complete descriptions and fairly present the data derived therefrom; the Company is not aware of any other clinical trials, preclinical studies or tests not described in the Registration Statement and the Prospectus, the results of which are inconsistent with or the Company believes to reasonably call into question, in any material respect, the clinical trial, preclinical study or test results described or referred to in the Registration Statement and the Prospectus when viewed in the context in which such results are described and the applicable stage of development; and neither the Company nor any of its subsidiaries has received any written notices, correspondence or other communications from the Regulatory Authorities or any other governmental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agency requiring or threatening the termination, material modification or suspension of any clinical trials, preclinical studies or tests that are described in the Registration Statement and the Prospectus or the results of which are referred to in the Registration Statement and the Prospectus, other than ordinary course communications with respect to modifications in connection with the design and implementation of such clinical trials, preclinical studies and tests.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4.22. [Intentionally Omitted.]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Rule 144(i)(1).</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taken, directly or indirectly, any action designed to or that would constitute or that would reasonably be expected to cause or result in, under the Exchange Act or otherwise, stabilization or manipulation of the price of any security of the Company to facilitate the sale or resale of the Shares.</w:t>
      </w:r>
    </w:p>
    <w:p>
      <w:pPr>
        <w:spacing w:after="0" w:line="17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Neither the Company nor any of its subsidiaries nor, to the Company’s Knowledge, any director, officer, agent, employee, affiliate or other person acting on behalf of the Company or any of its subsidiaries is aware of or has taken any action, directly or indirectly, that would result in a violation or a sanction for violation by such persons of the Foreign Corrupt Practices Act of 1977 or the U.K. Bribery Act 2010, each as may be amended, or similar law of any other relevant jurisdiction, or the rules or regulations thereunder; and the Issuer and its subsidiaries have instituted and maintain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18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Neither the Company nor any of its subsidiaries nor, to the Company’s Knowledge,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0" w:name="page21"/>
    <w:bookmarkEnd w:id="20"/>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result in the imposition of Sanctions against, any individual or entity (including any individual or entity participating in the offering, whether as underwriter, advisor, investor or otherwise). Neither the Company nor any of its subsidiaries has engaged in any dealings or transactions with or for the benefit of a Sanctioned Person, or with or in a Sanctioned Country, in the preceding three (3) years, nor does the Company or any of its subsidiaries have any plans to engage in dealings or transactions with or for the benefit of a Sanctioned Person, or with or in a Sanctioned Country.</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Healthcare Regulations</w:t>
      </w:r>
      <w:r>
        <w:rPr>
          <w:rFonts w:ascii="Times New Roman" w:cs="Times New Roman" w:eastAsia="Times New Roman" w:hAnsi="Times New Roman"/>
          <w:sz w:val="18"/>
          <w:szCs w:val="18"/>
          <w:color w:val="auto"/>
        </w:rPr>
        <w:t>. Except as would not, individually or in the aggregate, reasonably be expected to have a Material Adverse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 (i) the Company and its subsidiaries are and have been in compliance with statutes, laws, ordinances, rules and regulations applicable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and its subsidiaries, as applicable, for the ownership, research, testing, development, manufacture, packaging, processing, use, labeling,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promotion, advertising, storage or disposal of any product manufactured by or on behalf of the Company or its subsidiaries (a “</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including, without limitation, the Federal Food, Drug, and Cosmetic Act, 21 U.S.C. § 301, et seq., the Public Health Service Act, 42 U.S.C. § 262,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similar laws of any other federal or state governmental agency or any foreign regulatory agency and the regulations promulgated pursuant to such laws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(ii) the Company and its subsidiaries possess all licenses, certificates, approvals, applications, authorizations, permits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supplements or amendments thereto required by any such Applicable Laws and/or for the ownership of its properties or the conduct of its business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it relates to a Company Product and as described in the Prospectus (collectively,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and such Authorizations are valid and in full force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effect and the Company and its subsidiaries are not in violation of any term of any such Authorizations; (iii) neither the Company nor its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subsidiaries have received any written notice of adverse finding, warning letter or other correspondence or notice from the U.S. Food and Drug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the U.S. National Institutes of Health (“</w:t>
      </w:r>
      <w:r>
        <w:rPr>
          <w:rFonts w:ascii="Times New Roman" w:cs="Times New Roman" w:eastAsia="Times New Roman" w:hAnsi="Times New Roman"/>
          <w:sz w:val="18"/>
          <w:szCs w:val="18"/>
          <w:u w:val="single" w:color="auto"/>
          <w:color w:val="auto"/>
        </w:rPr>
        <w:t>NIH</w:t>
      </w:r>
      <w:r>
        <w:rPr>
          <w:rFonts w:ascii="Times New Roman" w:cs="Times New Roman" w:eastAsia="Times New Roman" w:hAnsi="Times New Roman"/>
          <w:sz w:val="18"/>
          <w:szCs w:val="18"/>
          <w:color w:val="auto"/>
        </w:rPr>
        <w:t>”), or any other federal or state governmental agency or any foreign regulatory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agency alleging or asserting noncompliance with any Applicable Laws or Authorizations relating to a Company Product; (iv) the Company and its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subsidiaries have not received written notice of any ongoing claim, action, suit, proceeding, hearing, enforcement, investigation, arbitration or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action from any federal or state governmental agency or any foreign regulatory agency or third party alleging that any Company Product, operation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activity related to a Company Product is in violation of any Applicable Laws or Authorizations or has any knowledge that any such federal or state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governmental agency or any foreign regulatory agency or third party is considering any such claim, litigation, arbitration, action, suit, investigation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proceeding; (v) the Company and its subsidiaries have not received written notice that any federal or state governmental agency or any foreign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regulatory agency has taken, is taking or intends to take action to limit, suspend, modify or revoke any Authorizations or has any knowledge that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federal or state governmental agency or foreign regulatory agency has threatened or is considering such action with respect to a Company Product;</w:t>
      </w:r>
    </w:p>
    <w:p>
      <w:pPr>
        <w:spacing w:after="0" w:line="9" w:lineRule="exact"/>
        <w:rPr>
          <w:sz w:val="20"/>
          <w:szCs w:val="20"/>
          <w:color w:val="auto"/>
        </w:rPr>
      </w:pPr>
    </w:p>
    <w:p>
      <w:pPr>
        <w:ind w:left="4" w:right="20" w:hanging="4"/>
        <w:spacing w:after="0" w:line="252" w:lineRule="auto"/>
        <w:tabs>
          <w:tab w:leader="none" w:pos="3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filed, obtained, maintained or submitted all reports, documents, forms, notices, applications, records, claims, submissions and supplements or amendments as are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 and (vii) to the Company’s Knowledge, the Company, its subsidiaries, any of their respective directors, officers, employees or agents have not made, or caused the making of, any false statements or representations on, or material omissions from, any submission to, or any other records or documentation prepared or maintained to comply with the requirements of, the FDA or any other federal or state governmental agency or foreign regulatory agency.</w:t>
      </w:r>
    </w:p>
    <w:p>
      <w:pPr>
        <w:spacing w:after="0" w:line="188"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Immunity</w:t>
      </w:r>
      <w:r>
        <w:rPr>
          <w:rFonts w:ascii="Times New Roman" w:cs="Times New Roman" w:eastAsia="Times New Roman" w:hAnsi="Times New Roman"/>
          <w:sz w:val="18"/>
          <w:szCs w:val="18"/>
          <w:color w:val="auto"/>
        </w:rPr>
        <w:t>. 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Switzerland.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1" w:name="page22"/>
    <w:bookmarkEnd w:id="21"/>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4.30.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All the outstanding shares of capital stock of each subsidiary have been duly and validly authorized and issued and are fully paid and non-assessable (which term means when used herein that no further contributions have to be made by the holders of the capital stock), and, except as otherwise set forth in the Prospectus, all outstanding shares of capital stock of the subsidiaries are owned by the Issuer either directly or through wholly owned subsidiaries free and clear of any perfected security interest or any other security interests, claims, liens or encumbrances.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u w:val="single" w:color="auto"/>
          <w:color w:val="auto"/>
        </w:rPr>
        <w:t>Representations and Warranties of the Investors</w:t>
      </w:r>
      <w:r>
        <w:rPr>
          <w:rFonts w:ascii="Times New Roman" w:cs="Times New Roman" w:eastAsia="Times New Roman" w:hAnsi="Times New Roman"/>
          <w:sz w:val="17"/>
          <w:szCs w:val="17"/>
          <w:color w:val="auto"/>
        </w:rPr>
        <w:t>. Each of the Investors hereby severally, and not jointly, represents and warrants to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and Existence</w:t>
      </w:r>
      <w:r>
        <w:rPr>
          <w:rFonts w:ascii="Times New Roman" w:cs="Times New Roman" w:eastAsia="Times New Roman" w:hAnsi="Times New Roman"/>
          <w:sz w:val="18"/>
          <w:szCs w:val="18"/>
          <w:color w:val="auto"/>
        </w:rPr>
        <w:t>. Such Investor is a duly incorporated or organized and validly existing corporation, limited partnership, limited liability company or other legal entity, has all requisite corporate, partnership or limited liability company power and authority to enter into and consummate the transactions contemplated by the Transaction Documents to which such Investor is a party and to carry out its obligations hereunder and thereunder, and to invest in the Shares pursuant to this Agreement, and is in good standing under the laws of the jurisdiction of its incorporation or organization.</w:t>
      </w:r>
    </w:p>
    <w:p>
      <w:pPr>
        <w:spacing w:after="0" w:line="183"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 The execution, delivery and performance by such Investor of the Transaction Documents to which such Investor is a party have been duly authorized and each has been duly executed and when delivered will constitute the valid and legally binding obligation of such Investor, enforceable against such Investor in accordance with their respective terms, subject to bankruptcy, insolvency, fraudulent transfer, reorganization, moratorium and similar laws of general applicability, relating to or affecting creditors’ rights generally, and general principles of equity.</w:t>
      </w:r>
    </w:p>
    <w:p>
      <w:pPr>
        <w:spacing w:after="0" w:line="16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Acquisition Entirely for Own Account</w:t>
      </w:r>
      <w:r>
        <w:rPr>
          <w:rFonts w:ascii="Times New Roman" w:cs="Times New Roman" w:eastAsia="Times New Roman" w:hAnsi="Times New Roman"/>
          <w:sz w:val="18"/>
          <w:szCs w:val="18"/>
          <w:color w:val="auto"/>
        </w:rPr>
        <w:t>. The Shares to be received by such Investor hereunder will be acquired for such Investor’s own account, not as nominee or agent, for the purpose of investment and not with a view to the resale or distribution of any part thereof in violation of the Securities Act, and such Investor has no present intention of selling, granting any participation in, or otherwise distributing the same in violation of the Securities Act without prejudice, however, to such Investor’s right at all times to sell or otherwise dispose of all or any part of such Shares in compliance with applicable federal and state securities laws (this representation and warranty not limiting such Investor’s right to sell the Shares pursuant to the Registration Statement or otherwise in compliance with applicable federal and state securities laws). The Shares are being purchased by such Investor in the ordinary course of its business. Nothing contained herein shall be deemed a representation or warranty by such Investor to hold the Shares for any period of time. Such Investor is not a broker-dealer registered with the SEC under the Exchange Act or an entity engaged in a business that would require it to be so registered.</w:t>
      </w:r>
    </w:p>
    <w:p>
      <w:pPr>
        <w:spacing w:after="0" w:line="188" w:lineRule="exact"/>
        <w:rPr>
          <w:sz w:val="20"/>
          <w:szCs w:val="20"/>
          <w:color w:val="auto"/>
        </w:rPr>
      </w:pPr>
    </w:p>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Such Investor acknowledges that it can bear the economic risk and complete loss of its investment in the Shares and has such knowledge and experience in financial or business matters that it is capable of evaluating the merits and risks of the investment contemplated hereby.</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Such Investor has had an opportunity to receive, review and understand all information related to the Company requested by it and to ask questions of and receive answers from the Company regarding the Company, its business and the terms and conditions of the offering of the Shares, and has conducted and completed its own independent due diligence. Such Investor acknowledges that copies of the SEC Filings are available on the Electronic Data Gathering, Analysis, and Retrieval system. Based on the information such Investor has deemed appropriate, it has independently made its own analysis and decision to enter into the Transaction Documents to which such Investor is a party. Such Investor is relying exclusively on its own investment analysis and due diligence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2" w:name="page23"/>
    <w:bookmarkEnd w:id="2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professional advice it deems appropriate) with respect to the execution, delivery and performance of the Transaction Documents to which such Investor is a party, the Shares and the business, condition (financial and otherwise), management, operations, properties and prospects of the Company, including but not limited to all business, legal, regulatory, accounting, credit and tax matters. Neither such inquiries nor any other due diligence investigation conducted by such Investor shall modify, limit or otherwise affect such Investor’s right to rely on the Company’s representations and warranties contained in this Agreement.</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Such Investor is an “accredited investor” within the meaning of Rule 501(a) of Regulation D. Such investor is a sophisticated institutional investor with sufficient knowledge and experience in investing in private equity transactions to properly evaluate the risks and merits of its acquisition of the Shares. Such Investor has determined based on its own independent review and such professional advice as it deems appropriate that its acquisition of the Shares and participation in the transactions contemplated by the Transaction Documents (i) have been duly authorized and approved by all necessary action and (ii) are a fit, proper and suitable investment for such Investor, notwithstanding the substantial risks inherent in investing in or holding the Shares.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5.7. [Intentionally Omitted.]</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Short Sales and Confidentiality Prior to the Date Hereof</w:t>
      </w:r>
      <w:r>
        <w:rPr>
          <w:rFonts w:ascii="Times New Roman" w:cs="Times New Roman" w:eastAsia="Times New Roman" w:hAnsi="Times New Roman"/>
          <w:sz w:val="18"/>
          <w:szCs w:val="18"/>
          <w:color w:val="auto"/>
        </w:rPr>
        <w:t>. Other than consummating the transactions contemplated hereunder,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first communicated with the Company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acquire the Shares covered by this Agreement. Other than to other Persons party to this Agreement and other than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No Government Recommendation or Approval</w:t>
      </w:r>
      <w:r>
        <w:rPr>
          <w:rFonts w:ascii="Times New Roman" w:cs="Times New Roman" w:eastAsia="Times New Roman" w:hAnsi="Times New Roman"/>
          <w:sz w:val="18"/>
          <w:szCs w:val="18"/>
          <w:color w:val="auto"/>
        </w:rPr>
        <w:t>. Such Investor understands that no United States federal or state agency, or similar agency of any other country, has reviewed, approved, passed upon, or made any recommendation or endorsement of the Company or the acquisition of the Shares.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3" w:name="page24"/>
    <w:bookmarkEnd w:id="23"/>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No Intent to Effect a Change of Control</w:t>
      </w:r>
      <w:r>
        <w:rPr>
          <w:rFonts w:ascii="Times New Roman" w:cs="Times New Roman" w:eastAsia="Times New Roman" w:hAnsi="Times New Roman"/>
          <w:sz w:val="18"/>
          <w:szCs w:val="18"/>
          <w:color w:val="auto"/>
        </w:rPr>
        <w:t>. Such Investor has no present intent to effect a “change of control” of the Company as such term is understood under the rules promulgated pursuant to Section 13(d) of the Exchange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Investor of the Transaction Documents to which such Investor is a party and the consummation by such Investor of the transactions contemplated hereby and thereby will not (i) result in a violation of the organizational documents of such Investor or (ii) 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192" w:lineRule="exact"/>
        <w:rPr>
          <w:sz w:val="20"/>
          <w:szCs w:val="20"/>
          <w:color w:val="auto"/>
        </w:rPr>
      </w:pPr>
    </w:p>
    <w:p>
      <w:pPr>
        <w:ind w:left="620" w:hanging="184"/>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Investors’ Obligations</w:t>
      </w:r>
      <w:r>
        <w:rPr>
          <w:rFonts w:ascii="Times New Roman" w:cs="Times New Roman" w:eastAsia="Times New Roman" w:hAnsi="Times New Roman"/>
          <w:sz w:val="18"/>
          <w:szCs w:val="18"/>
          <w:color w:val="auto"/>
        </w:rPr>
        <w:t>. The obligation of each Investor to subscribe for the Shares and acquire the Shares at the Closing is subject to the fulfillment, on or prior to the Closing Date, of the following conditions, any of which may be waived by such Investor (as to itself only):</w:t>
      </w:r>
    </w:p>
    <w:p>
      <w:pPr>
        <w:spacing w:after="0" w:line="176" w:lineRule="exact"/>
        <w:rPr>
          <w:sz w:val="20"/>
          <w:szCs w:val="20"/>
          <w:color w:val="auto"/>
        </w:rPr>
      </w:pPr>
    </w:p>
    <w:p>
      <w:pPr>
        <w:ind w:firstLine="987"/>
        <w:spacing w:after="0" w:line="25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shall be true and correct in all material respects (or, to the extent representations or warranties are qualified by materiality or Material Adverse Effect, in all respects) as of the date hereof and as of the Closing Date, as though made on and as of such date, except to the extent any such representation or warranty expressly speaks as of an earlier date or as of Closing Date only, in which case such representation or warranty shall be true and correct in all material respects (or, to the extent representations or warranties are qualified by materiality or Material Adverse Effect, in all respects) as of such earlier date or as of Closing Date only. The Company shall have performed in all material respects all obligations and covenants herein required to be performed by it on or prior to the Closing Date.</w:t>
      </w:r>
    </w:p>
    <w:p>
      <w:pPr>
        <w:spacing w:after="0" w:line="187"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consents, approvals, resolutions, registrations and waivers necessary for the issuance of the Shares to the Investors as contemplated by the Transaction Documents, the Company shall have obtained any and all consents, permits, approvals, registrations and waivers necessary for the consummation of the other transactions contemplated by the Transaction Documents, all of which shall be in full force and effect.</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a copy of the irrevocable instructions to the Transfer Agent instructing the Transfer Agent to deliver to each Investor (or a broker designated by such Investor) on an expedited basis via The Depository Trust Company Shares equal to the number of Shares set forth opposite the name of such Investor under the heading “Number of Shares Acquired”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with Nasdaq a Listing of Additional Shares notice form for the Shares and the Shares shall be freely tradable on Nasdaq.</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ind w:right="20" w:firstLine="987"/>
        <w:spacing w:after="0" w:line="266"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75" w:lineRule="exact"/>
        <w:rPr>
          <w:rFonts w:ascii="Times New Roman" w:cs="Times New Roman" w:eastAsia="Times New Roman" w:hAnsi="Times New Roman"/>
          <w:sz w:val="18"/>
          <w:szCs w:val="18"/>
          <w:color w:val="auto"/>
        </w:rPr>
      </w:pPr>
    </w:p>
    <w:p>
      <w:pPr>
        <w:ind w:right="160" w:firstLine="987"/>
        <w:spacing w:after="0" w:line="266"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a Certificate, executed on behalf of the Company by its Chief Executive Officer or its Chief Financial Officer, dated as of the Closing Date, certifying to the fulfillment of the conditions specified in subsections (a), (b), (c), (e), (h) and (j)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executed on behalf of the Company by its Secretary, dated as of the Closing Date, certifying the resolutions adopted by the Board of Directors of the Company approving the transactions contemplated by this Agreement (except for the resolutions necessary for the issuance of the Shares at the Closing), the other Transaction Documents, certifying the current versions of the Articles of Association of the Company (as filed with the competent Swiss commercial register as of the Closing Date) and certifying as to the signatures and authority of persons signing the Transaction Documents and related documents on behalf of the Company.</w:t>
      </w:r>
    </w:p>
    <w:p>
      <w:pPr>
        <w:spacing w:after="0" w:line="183"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caused to be delivered to each Investor a legal opinion of each of Walder Wyss AG and Goodwin Procter LLP, each such opinion in a form reasonably acceptable to the Investors.</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the duly executed Lock-Up Agreements.</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the Prospectus and Prospectus Supplement (which may be delivered in accordance with Rule 172 under the Securities Act).</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suspension of trading shall have been imposed by Nasdaq, the SEC or any other governmental or regulatory body with respect to public trading in the Common Shares.</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Company’s obligation to issue the Shares at the Closing is subject to the fulfillment to the satisfaction of the Company on or prior to the Closing Date of the following conditions, any of which may be waived by the Company:</w:t>
      </w:r>
    </w:p>
    <w:p>
      <w:pPr>
        <w:spacing w:after="0" w:line="162" w:lineRule="exact"/>
        <w:rPr>
          <w:sz w:val="20"/>
          <w:szCs w:val="20"/>
          <w:color w:val="auto"/>
        </w:rPr>
      </w:pPr>
    </w:p>
    <w:p>
      <w:pPr>
        <w:ind w:firstLine="987"/>
        <w:spacing w:after="0" w:line="266"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the Investors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shall be true and correct as of the date hereof, and shall be true and correct as of the Closing Date with the same force and effect as if they had been made on and as of such date. The Investors shall have performed in all material respects all obligations and covenants herein required to be performed by them on or prior to the Closing Date.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Investor purchasing the Shares at the Closing shall have paid in full its issue price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Termination of Obligations to Effect Closing; Effects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20" w:right="60" w:hanging="4433"/>
        <w:spacing w:after="0" w:line="454" w:lineRule="auto"/>
        <w:tabs>
          <w:tab w:leader="none" w:pos="12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on the one hand, and the Investors, on the other hand, to effect the Closing shall terminate as follows: 15</w:t>
      </w:r>
    </w:p>
    <w:p>
      <w:pPr>
        <w:sectPr>
          <w:pgSz w:w="11900" w:h="16838" w:orient="portrait"/>
          <w:cols w:equalWidth="0" w:num="1">
            <w:col w:w="11000"/>
          </w:cols>
          <w:pgMar w:left="440" w:top="270" w:right="459" w:bottom="1440" w:gutter="0" w:footer="0" w:header="0"/>
        </w:sectPr>
      </w:pPr>
    </w:p>
    <w:bookmarkStart w:id="25" w:name="page26"/>
    <w:bookmarkEnd w:id="25"/>
    <w:p>
      <w:pPr>
        <w:ind w:right="520" w:firstLine="1428"/>
        <w:spacing w:after="0" w:line="282" w:lineRule="auto"/>
        <w:tabs>
          <w:tab w:leader="none" w:pos="16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mutual written consent of the Company and Investors that agreed to acquire a majority of the Shares to be issued pursuant to this Agreement;</w:t>
      </w:r>
    </w:p>
    <w:p>
      <w:pPr>
        <w:spacing w:after="0" w:line="161" w:lineRule="exact"/>
        <w:rPr>
          <w:rFonts w:ascii="Times New Roman" w:cs="Times New Roman" w:eastAsia="Times New Roman" w:hAnsi="Times New Roman"/>
          <w:sz w:val="18"/>
          <w:szCs w:val="18"/>
          <w:color w:val="auto"/>
        </w:rPr>
      </w:pPr>
    </w:p>
    <w:p>
      <w:pPr>
        <w:ind w:right="180" w:firstLine="1428"/>
        <w:spacing w:after="0" w:line="282" w:lineRule="auto"/>
        <w:tabs>
          <w:tab w:leader="none" w:pos="16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have become incapable of fulfillment, and shall not have been waived by the Company;</w:t>
      </w:r>
    </w:p>
    <w:p>
      <w:pPr>
        <w:spacing w:after="0" w:line="161" w:lineRule="exact"/>
        <w:rPr>
          <w:rFonts w:ascii="Times New Roman" w:cs="Times New Roman" w:eastAsia="Times New Roman" w:hAnsi="Times New Roman"/>
          <w:sz w:val="18"/>
          <w:szCs w:val="18"/>
          <w:color w:val="auto"/>
        </w:rPr>
      </w:pPr>
    </w:p>
    <w:p>
      <w:pPr>
        <w:ind w:right="500" w:firstLine="1428"/>
        <w:spacing w:after="0" w:line="282" w:lineRule="auto"/>
        <w:tabs>
          <w:tab w:leader="none" w:pos="17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 Investor (with respect to itself only) if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have become incapable of fulfillment, and shall not have been waived by the Investor; or</w:t>
      </w:r>
    </w:p>
    <w:p>
      <w:pPr>
        <w:spacing w:after="0" w:line="161" w:lineRule="exact"/>
        <w:rPr>
          <w:rFonts w:ascii="Times New Roman" w:cs="Times New Roman" w:eastAsia="Times New Roman" w:hAnsi="Times New Roman"/>
          <w:sz w:val="18"/>
          <w:szCs w:val="18"/>
          <w:color w:val="auto"/>
        </w:rPr>
      </w:pPr>
    </w:p>
    <w:p>
      <w:pPr>
        <w:ind w:right="540" w:firstLine="1428"/>
        <w:spacing w:after="0" w:line="282" w:lineRule="auto"/>
        <w:tabs>
          <w:tab w:leader="none" w:pos="17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any Investor (with respect to itself only) if the Closing has not occurred on or prior to the tenth Trading Day following the date of this Agreement;</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provided, however, that, except in the case of clause (i) above, the party seeking to terminate its obligation to effect the Closing shall not then be in breach of any of its representations, warranties, covenants or agreements contained in this Agreement or the other Transaction Documents if such breach has resulted in the circumstances giving rise to such party’s seeking to terminate its obligation to effect the Closing.</w:t>
      </w:r>
    </w:p>
    <w:p>
      <w:pPr>
        <w:spacing w:after="0" w:line="176" w:lineRule="exact"/>
        <w:rPr>
          <w:sz w:val="20"/>
          <w:szCs w:val="20"/>
          <w:color w:val="auto"/>
        </w:rPr>
      </w:pPr>
    </w:p>
    <w:p>
      <w:pPr>
        <w:ind w:right="20" w:firstLine="987"/>
        <w:spacing w:after="0" w:line="258" w:lineRule="auto"/>
        <w:tabs>
          <w:tab w:leader="none" w:pos="12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by the Company or any Investor of its obligations to effect the Closing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written notice thereof shall be given to the other Investors by the Company and the other Investors shall have the right to terminate their obligations to effect the Closing upon written notice to the Company and the other Investors.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and Agreements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Investor owns the Shares, the Company covenants to timely file (or obtain extensions in respect thereof and file within the applicable grace period) all reports required to be filed by the Company after the date hereof pursuant to the Exchange Act, provided that the Company is then subject to the reporting requirements of the Exchange Act.</w:t>
      </w:r>
    </w:p>
    <w:p>
      <w:pPr>
        <w:spacing w:after="0" w:line="176"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Company will use commercially reasonable efforts to continue the listing and trading of its Common Shares on Nasdaq and, in accordance therewith, will use commercially reasonable efforts to comply in all material respects with the Company’s reporting, filing and other obligations under the bylaws or rules of such market or exchange, as applicable.</w:t>
      </w:r>
    </w:p>
    <w:p>
      <w:pPr>
        <w:spacing w:after="0" w:line="176"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Securities Laws Disclosure</w:t>
      </w:r>
      <w:r>
        <w:rPr>
          <w:rFonts w:ascii="Times New Roman" w:cs="Times New Roman" w:eastAsia="Times New Roman" w:hAnsi="Times New Roman"/>
          <w:sz w:val="18"/>
          <w:szCs w:val="18"/>
          <w:color w:val="auto"/>
        </w:rPr>
        <w:t>. The Company shall (a) by the Disclosure Time, issue a press release or file a Current Report on Form 8-K disclosing the material terms of the transactions contemplated hereby, and (b) file a Current Report on Form 8-K, including the Transaction Documents as exhibits thereto, with the SEC within the time required by the Exchange Act. From and after the issuance of such press release, the Company represents to the Investors that it shall have publicly disclosed all material, non-public information delivered to any of the Investors by the Company or any of its subsidiaries, or any of their respective officers, directors, employees or agents in connection with the transactions contemplated by the Transaction Documents.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6" w:name="page27"/>
    <w:bookmarkEnd w:id="26"/>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sixty (60) days after the Closing Date, neither the Company nor any subsidiary shall issue, enter into any agreement to issue or announce the issuance or proposed issuance of any Common Shares or Common Share Equivalents. Notwithstanding the foregoing, this Section 7.5 shall not apply in respect of an Exempt Issuance.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Equal Treatment of Investors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Investor by the Company and negotiated separately by each Investor, and is intended for the Company to treat the Investors as a class and shall not in any way be construed as the Investors acting in concert or as a group with respect to the purchase, disposition or voting of Shares or otherwise.</w:t>
      </w:r>
    </w:p>
    <w:p>
      <w:pPr>
        <w:spacing w:after="0" w:line="183" w:lineRule="exact"/>
        <w:rPr>
          <w:sz w:val="20"/>
          <w:szCs w:val="20"/>
          <w:color w:val="auto"/>
        </w:rPr>
      </w:pPr>
    </w:p>
    <w:p>
      <w:pPr>
        <w:ind w:left="620" w:hanging="184"/>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and Agreements of the 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91"/>
        <w:spacing w:after="0" w:line="272"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Short Sales and Confidentiality After the Date Hereof</w:t>
      </w:r>
      <w:r>
        <w:rPr>
          <w:rFonts w:ascii="Times New Roman" w:cs="Times New Roman" w:eastAsia="Times New Roman" w:hAnsi="Times New Roman"/>
          <w:sz w:val="17"/>
          <w:szCs w:val="17"/>
          <w:color w:val="auto"/>
        </w:rPr>
        <w:t>. Each Investor covenants that neither it nor any Affiliates acting on its behalf or pursuant to any understanding with it will trade in the securities of the Company or execute any Short Sales during the period from the date hereof until the earlier of such time as (i) the transactions contemplated by this Agreement are first publicly announced or (ii) this Agreement is terminated in full.</w:t>
      </w:r>
    </w:p>
    <w:p>
      <w:pPr>
        <w:spacing w:after="0" w:line="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Each Investor covenants that until such time as the transactions contemplated by this Agreement are publicly disclosed by the Company, such Investor and its Affiliates will maintain the confidentiality of the existence and terms of this Agreement, other than, in each case,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89" w:lineRule="exact"/>
        <w:rPr>
          <w:sz w:val="20"/>
          <w:szCs w:val="20"/>
          <w:color w:val="auto"/>
        </w:rPr>
      </w:pPr>
    </w:p>
    <w:p>
      <w:pPr>
        <w:ind w:left="620" w:hanging="184"/>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and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covenants and agreements contained in this Agreement shall survive the Closing of the transactions contemplated by this Agreement for the applicable statute of limitations.</w:t>
      </w:r>
    </w:p>
    <w:p>
      <w:pPr>
        <w:spacing w:after="0" w:line="16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and hold harmless each Investor and its Affiliates, and their respective directors, officers, trustees, members, managers, employees, investment advisers and agents,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Documents, and will reimburse any such Person for all such amounts as they are incurred by such Person solely to the extent such amounts have been finally judicially determined not to have resulted from such Person’s fraud or willful misconduct.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7" w:name="page28"/>
    <w:bookmarkEnd w:id="27"/>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that does not include as an unconditional term thereof the giving by the claimant or plaintiff to such indemnified party of a release from all liability in respect of such claim or litigation. No indemnified party will, except with the consent of the indemnifying party, which consent shall not be unreasonably withheld, conditioned or delayed, consent to entry of any judgment or enter into any settlement.</w:t>
      </w:r>
    </w:p>
    <w:p>
      <w:pPr>
        <w:spacing w:after="0" w:line="197" w:lineRule="exact"/>
        <w:rPr>
          <w:sz w:val="20"/>
          <w:szCs w:val="20"/>
          <w:color w:val="auto"/>
        </w:rPr>
      </w:pPr>
    </w:p>
    <w:p>
      <w:pPr>
        <w:ind w:left="700" w:hanging="264"/>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may not be assigned by a party hereto without the prior written consent of the Company or each of the Investors, as applicable, provided, however, that an Investor may assign its rights and delegate its duties hereunder in whole or in part to an Affiliate, to one or more funds or accounts managed by the investment manager or investment advisor of the Investor or by an Affiliate of such investment manager or investment adviser, or to a third party acquiring some or all of its Shares in a transaction complying with applicable securities laws without the prior written consent of the Company or the other Investors, provided such assignee agrees in writing to be bound by the provisions hereof that apply to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Shares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“Shares”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28" w:name="page29"/>
    <w:bookmarkEnd w:id="28"/>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provided, any notice required or permitted under this Agreement shall be given in writing and shall be deemed effectively given as hereinafter described (i) if given by personal delivery, then such notice shall be deemed given upon such delivery, (ii) if given by facsimile or e-mail, then such notice shall be deemed given upon receipt of confirmation of complete facsimile transmittal or confirmation of receipt of an e-mail transmission, (iii) if given by mail, then such notice shall be deemed given upon the earlier of (A) receipt of such notice by the recipient or (B) three (3) days after such notice is deposited in first class mail, postage prepaid, and (iv) if given by an internationally recognized overnight air courier, then such notice shall be deemed given one (1) Business Day after delivery to such carrier. All notices shall be addressed to the party to be notified at the address as follows, or at such other address as such party may designate by ten (10) days’ advance written notice to the other party: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CRISPR Therapeutics AG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Baarerstrasse 14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6300 Zug, Switzerland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(866) 499-2813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James R. Kasinger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Robert E. Puopolo and Marishka DeToy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 and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Walder Wyss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Seefeldstrasse 123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8034 Zurich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Alex Nikitine and Iliana Djagova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 and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Investors: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Only to the addresses set forth on the signature pages hereto.</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440" w:top="270" w:right="599" w:bottom="1440" w:gutter="0" w:footer="0" w:header="0"/>
        </w:sectPr>
      </w:pPr>
    </w:p>
    <w:bookmarkStart w:id="29" w:name="page30"/>
    <w:bookmarkEnd w:id="29"/>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parties hereto shall pay their own costs and expenses in connection herewith regardless of whether the transactions contemplated hereby are consummated. The Company shall pay all Transfer Agent fees (including, without limitation, any fees required for same-day processing of any instruction letter delivered by the Company), stamp taxes and other taxes and duties levied in connection with the delivery of any Shares to the Investors.</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Prior to Closing, no amendment or waiver of any provision of this Agreement will be effective with respect to any party unless made in writing and signed by a duly authorized representative of such party. Following the Closing, any term of this Agreement may be amended and the observance of any term of this Agreement may be waived (either generally or in a particular instance and either retroactively or prospectively), only with the written consent of the Company and each Investor.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Any amendment or waiver effected in accordance with this paragraph shall be binding upon (i) prior to Closing, each Investor that signed such amendment or waiver and (ii) following the Closing, each holder of any the Shares purchased under this Agreement at the time outstanding, and in each case, each future holder of all such Shares and the Company.</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set forth below, no public release or announcement concerning the transactions contemplated hereby shall be issued by the Investors without the prior consent of the Company, except as such release or announcement may be required by law or the applicable rules or regulations of any securities exchange or securities market, in which case the Investors shall allow the Company reasonable time to comment on such release or announcement in advance of such issuance. Notwithstanding the foregoing, each Investor may identify the Company and the value of such Investor’s security holdings in the Company in accordance with applicable investment reporting and disclosure regulations or internal policies without prior notice to or consent from the Company (including, for the avoidance of doubt, filings pursuant to Sections 13 and 16 of the Exchange Act). The Company and the Investors shall consult with each other in issuing any other press releases with respect to the transactions contemplated hereby, and the Company shall not issue any such press release nor otherwise make any such public statement without the prior consent of the Investors, which consent shall not unreasonably be withheld or delayed, except if such disclosure is required by law, in which case the Company shall promptly provide the Investors with prior notice of such public statement or communication. Notwithstanding the foregoing, the Company shall not publicly disclose the name of any Investor, or include the name of any Investor in any filing with the SEC or any regulatory agency or Trading Market, without the prior written consent of such Investor, except (a) as required by federal securities law in connection with the filing of final Transaction Documents with the SEC and (b) to the extent such disclosure is required by law or Trading Market regulations. In addition, the Company will make such other filings and notices in the manner and time required by the SEC or Nasdaq.</w:t>
      </w:r>
    </w:p>
    <w:p>
      <w:pPr>
        <w:spacing w:after="0" w:line="19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0" w:name="page31"/>
    <w:bookmarkEnd w:id="30"/>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signature pages and Exhibits, and the other Transaction Documents between the Company and each Investor constitute the entire agreement among the parties hereof with respect to the subject matter hereof and thereof and supersede all prior agreements and understandings, both oral and written, between the parties with respect to the subject matter hereof and thereof.</w:t>
      </w:r>
    </w:p>
    <w:p>
      <w:pPr>
        <w:spacing w:after="0" w:line="176"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4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Any legal suit, action or proceeding arising out of or based upon this Agreement or the transactions contemplated hereby (“</w:t>
      </w:r>
      <w:r>
        <w:rPr>
          <w:rFonts w:ascii="Times New Roman" w:cs="Times New Roman" w:eastAsia="Times New Roman" w:hAnsi="Times New Roman"/>
          <w:sz w:val="18"/>
          <w:szCs w:val="18"/>
          <w:u w:val="single" w:color="auto"/>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u w:val="single" w:color="auto"/>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hereby appoints CRISPR Therapeutics, Inc., 105 W First St., South Boston, MA 02127 as its authorized agent (the “</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upon whom process may be served in any suit, action or proceeding arising out of or based upon this Agreement or the transactions contemplated herein that may be instituted in any State or U.S. federal court in The City of New York and County of New York, by each Investor, the directors, officers, employees, affiliates and agents of each Investor, or by any person who controls each Investor, and expressly accepts the 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each Investor, the directors, officers, employees, affiliates and agents of each Investor, or by any person who controls each Investor, in any court of competent jurisdiction in Switzerland. The provisions of this paragraph shall survive any termination of this Agreement.</w:t>
      </w:r>
    </w:p>
    <w:p>
      <w:pPr>
        <w:spacing w:after="0" w:line="18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Independent Nature of Investors’ Obligations and Rights</w:t>
      </w:r>
      <w:r>
        <w:rPr>
          <w:rFonts w:ascii="Times New Roman" w:cs="Times New Roman" w:eastAsia="Times New Roman" w:hAnsi="Times New Roman"/>
          <w:sz w:val="18"/>
          <w:szCs w:val="18"/>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acquire the Shares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acknowledges that no other Investor has acted as agent for such Investor in connection with making its investment hereunder and that no Investor will be acting as agent of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in connection with monitoring its investment in the Shares or enforcing its rights under the Transaction Documents. Each Investor shall be entitled to independently protect and enforce its rights, including, without limitation, the rights arising out of this Agreement or out of the other Transaction Documents, and it shall not be necessary for any other Investor to be joined as an additional party in any proceeding for such purpose. The Company acknowledges that each of the Investors has been provided with the same Transaction Documents for the purpose of closing a transaction with multiple Investors and not because it was required or requested to do so by any Investor. It is expressly understood and agreed that each provision contained in this Agreement is between the Company and an Investor, solely, and not between the Company and the Investors collectively and not between and among the Investors.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[Intentionally omitted pursuant to Item 601 of Regulation S-K.]</w:t>
      </w:r>
    </w:p>
    <w:p>
      <w:pPr>
        <w:sectPr>
          <w:pgSz w:w="11900" w:h="16838" w:orient="portrait"/>
          <w:cols w:equalWidth="0" w:num="1">
            <w:col w:w="9019"/>
          </w:cols>
          <w:pgMar w:left="1440" w:top="266" w:right="1440" w:bottom="1440" w:gutter="0" w:footer="0" w:header="0"/>
        </w:sectPr>
      </w:pPr>
    </w:p>
    <w:bookmarkStart w:id="33" w:name="page34"/>
    <w:bookmarkEnd w:id="33"/>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SUBSCRIPTION FORM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Making reference to the contemplated capital increase of CRISPR Therapeutics AG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from CHF 2,506,150.41 through the issuance of</w:t>
      </w:r>
    </w:p>
    <w:p>
      <w:pPr>
        <w:spacing w:after="0" w:line="31" w:lineRule="exact"/>
        <w:rPr>
          <w:sz w:val="20"/>
          <w:szCs w:val="20"/>
          <w:color w:val="auto"/>
        </w:rPr>
      </w:pPr>
    </w:p>
    <w:p>
      <w:pPr>
        <w:ind w:left="4904" w:right="4420" w:hanging="4904"/>
        <w:spacing w:after="0" w:line="490" w:lineRule="auto"/>
        <w:tabs>
          <w:tab w:leader="none" w:pos="2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paid-in shares with a nominal value of CHF 0.03 each, to CHF [•] the undersigned [</w:t>
      </w:r>
      <w:r>
        <w:rPr>
          <w:rFonts w:ascii="Times New Roman" w:cs="Times New Roman" w:eastAsia="Times New Roman" w:hAnsi="Times New Roman"/>
          <w:sz w:val="18"/>
          <w:szCs w:val="18"/>
          <w:i w:val="1"/>
          <w:iCs w:val="1"/>
          <w:color w:val="auto"/>
        </w:rPr>
        <w:t>Investor name</w:t>
      </w:r>
      <w:r>
        <w:rPr>
          <w:rFonts w:ascii="Times New Roman" w:cs="Times New Roman" w:eastAsia="Times New Roman" w:hAnsi="Times New Roman"/>
          <w:sz w:val="18"/>
          <w:szCs w:val="18"/>
          <w:color w:val="auto"/>
        </w:rPr>
        <w:t>],</w:t>
      </w:r>
    </w:p>
    <w:p>
      <w:pPr>
        <w:ind w:left="4"/>
        <w:spacing w:after="0" w:line="266" w:lineRule="auto"/>
        <w:rPr>
          <w:sz w:val="20"/>
          <w:szCs w:val="20"/>
          <w:color w:val="auto"/>
        </w:rPr>
      </w:pPr>
      <w:r>
        <w:rPr>
          <w:rFonts w:ascii="Times New Roman" w:cs="Times New Roman" w:eastAsia="Times New Roman" w:hAnsi="Times New Roman"/>
          <w:sz w:val="18"/>
          <w:szCs w:val="18"/>
          <w:color w:val="auto"/>
        </w:rPr>
        <w:t>acting in its own name and for its own account hereby subscribes for [•] common shares with a nominal value of CHF 0.03 each, with a total nominal value of CHF [•] and irrevocably and unconditionally undertakes to pay the total subscription price of CHF [•] not later than 5:00 p.m. (Zurich Time) on February [•], 2024 to the following bank account:</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 account details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undersigned has taken note of the articles of association of the Company as well as the resolution taken on the shareholders’ meeting of June 8, 2023, the resolution to be taken on the meeting of the Board of Directors on or around February [•], 2024, the investment agreement concluded [among others] between the Company as issuer and the undersigned, [</w:t>
      </w:r>
      <w:r>
        <w:rPr>
          <w:rFonts w:ascii="Times New Roman" w:cs="Times New Roman" w:eastAsia="Times New Roman" w:hAnsi="Times New Roman"/>
          <w:sz w:val="18"/>
          <w:szCs w:val="18"/>
          <w:i w:val="1"/>
          <w:iCs w:val="1"/>
          <w:color w:val="auto"/>
        </w:rPr>
        <w:t>investor name</w:t>
      </w:r>
      <w:r>
        <w:rPr>
          <w:rFonts w:ascii="Times New Roman" w:cs="Times New Roman" w:eastAsia="Times New Roman" w:hAnsi="Times New Roman"/>
          <w:sz w:val="18"/>
          <w:szCs w:val="18"/>
          <w:color w:val="auto"/>
        </w:rPr>
        <w:t>] on or around February [•] 2024.</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Subscription Form is valid until March [•] 2024.</w:t>
      </w:r>
    </w:p>
    <w:p>
      <w:pPr>
        <w:spacing w:after="0" w:line="22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are on the following page</w:t>
      </w:r>
      <w:r>
        <w:rPr>
          <w:rFonts w:ascii="Times New Roman" w:cs="Times New Roman" w:eastAsia="Times New Roman" w:hAnsi="Times New Roman"/>
          <w:sz w:val="18"/>
          <w:szCs w:val="18"/>
          <w:color w:val="auto"/>
        </w:rPr>
        <w:t>]</w:t>
      </w:r>
    </w:p>
    <w:p>
      <w:pPr>
        <w:sectPr>
          <w:pgSz w:w="11900" w:h="16838" w:orient="portrait"/>
          <w:cols w:equalWidth="0" w:num="1">
            <w:col w:w="10964"/>
          </w:cols>
          <w:pgMar w:left="436" w:top="266"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Investor: </w:t>
      </w:r>
      <w:r>
        <w:rPr>
          <w:rFonts w:ascii="Times New Roman" w:cs="Times New Roman" w:eastAsia="Times New Roman" w:hAnsi="Times New Roman"/>
          <w:sz w:val="17"/>
          <w:szCs w:val="17"/>
          <w:color w:val="auto"/>
        </w:rPr>
        <w:t>________________________</w:t>
      </w:r>
    </w:p>
    <w:p>
      <w:pPr>
        <w:sectPr>
          <w:pgSz w:w="11900" w:h="16838" w:orient="portrait"/>
          <w:cols w:equalWidth="0" w:num="1">
            <w:col w:w="10019"/>
          </w:cols>
          <w:pgMar w:left="440" w:top="266" w:right="1440"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 date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Function: ________________</w:t>
      </w:r>
    </w:p>
    <w:p>
      <w:pPr>
        <w:sectPr>
          <w:pgSz w:w="11900" w:h="16838" w:orient="portrait"/>
          <w:cols w:equalWidth="0" w:num="2">
            <w:col w:w="2820" w:space="720"/>
            <w:col w:w="6479"/>
          </w:cols>
          <w:pgMar w:left="440" w:top="266" w:right="1440"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[Intentionally omitted pursuant to Item 601 of Regulation S-K.]</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2)"/>
      <w:numFmt w:val="lowerLetter"/>
      <w:start w:val="1"/>
    </w:lvl>
  </w:abstractNum>
  <w:abstractNum w:abstractNumId="3">
    <w:nsid w:val="6B68079A"/>
    <w:multiLevelType w:val="hybridMultilevel"/>
    <w:lvl w:ilvl="0">
      <w:lvlJc w:val="left"/>
      <w:lvlText w:val="(%1)"/>
      <w:numFmt w:val="lowerRoman"/>
      <w:start w:val="1"/>
    </w:lvl>
  </w:abstractNum>
  <w:abstractNum w:abstractNumId="4">
    <w:nsid w:val="4E6AFB66"/>
    <w:multiLevelType w:val="hybridMultilevel"/>
    <w:lvl w:ilvl="0">
      <w:lvlJc w:val="left"/>
      <w:lvlText w:val="%1."/>
      <w:numFmt w:val="decimal"/>
      <w:start w:val="3"/>
    </w:lvl>
    <w:lvl w:ilvl="1">
      <w:lvlJc w:val="left"/>
      <w:lvlText w:val="(%2)"/>
      <w:numFmt w:val="lowerLetter"/>
      <w:start w:val="1"/>
    </w:lvl>
  </w:abstractNum>
  <w:abstractNum w:abstractNumId="5">
    <w:nsid w:val="25E45D32"/>
    <w:multiLevelType w:val="hybridMultilevel"/>
    <w:lvl w:ilvl="0">
      <w:lvlJc w:val="left"/>
      <w:lvlText w:val="(%1)"/>
      <w:numFmt w:val="lowerLetter"/>
      <w:start w:val="4"/>
    </w:lvl>
  </w:abstractNum>
  <w:abstractNum w:abstractNumId="6">
    <w:nsid w:val="519B500D"/>
    <w:multiLevelType w:val="hybridMultilevel"/>
    <w:lvl w:ilvl="0">
      <w:lvlJc w:val="left"/>
      <w:lvlText w:val="%1"/>
      <w:numFmt w:val="decimal"/>
      <w:start w:val="1"/>
    </w:lvl>
    <w:lvl w:ilvl="1">
      <w:lvlJc w:val="left"/>
      <w:lvlText w:val="(%2)"/>
      <w:numFmt w:val="lowerLetter"/>
      <w:start w:val="10"/>
    </w:lvl>
  </w:abstractNum>
  <w:abstractNum w:abstractNumId="7">
    <w:nsid w:val="431BD7B7"/>
    <w:multiLevelType w:val="hybridMultilevel"/>
    <w:lvl w:ilvl="0">
      <w:lvlJc w:val="left"/>
      <w:lvlText w:val="%1."/>
      <w:numFmt w:val="decimal"/>
      <w:start w:val="4"/>
    </w:lvl>
    <w:lvl w:ilvl="1">
      <w:lvlJc w:val="left"/>
      <w:lvlText w:val="(%2)"/>
      <w:numFmt w:val="lowerLetter"/>
      <w:start w:val="1"/>
    </w:lvl>
  </w:abstractNum>
  <w:abstractNum w:abstractNumId="8">
    <w:nsid w:val="3F2DBA31"/>
    <w:multiLevelType w:val="hybridMultilevel"/>
    <w:lvl w:ilvl="0">
      <w:lvlJc w:val="left"/>
      <w:lvlText w:val="%1"/>
      <w:numFmt w:val="decimal"/>
      <w:start w:val="1"/>
    </w:lvl>
    <w:lvl w:ilvl="1">
      <w:lvlJc w:val="left"/>
      <w:lvlText w:val="(%2)"/>
      <w:numFmt w:val="lowerLetter"/>
      <w:start w:val="3"/>
    </w:lvl>
  </w:abstractNum>
  <w:abstractNum w:abstractNumId="9">
    <w:nsid w:val="7C83E458"/>
    <w:multiLevelType w:val="hybridMultilevel"/>
    <w:lvl w:ilvl="0">
      <w:lvlJc w:val="left"/>
      <w:lvlText w:val="%1."/>
      <w:numFmt w:val="decimal"/>
      <w:start w:val="6"/>
    </w:lvl>
    <w:lvl w:ilvl="1">
      <w:lvlJc w:val="left"/>
      <w:lvlText w:val="(%2)"/>
      <w:numFmt w:val="lowerLetter"/>
      <w:start w:val="1"/>
    </w:lvl>
  </w:abstractNum>
  <w:abstractNum w:abstractNumId="10">
    <w:nsid w:val="257130A3"/>
    <w:multiLevelType w:val="hybridMultilevel"/>
    <w:lvl w:ilvl="0">
      <w:lvlJc w:val="left"/>
      <w:lvlText w:val="(%1)"/>
      <w:numFmt w:val="lowerRoman"/>
      <w:start w:val="2"/>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decimal"/>
      <w:start w:val="4"/>
    </w:lvl>
  </w:abstractNum>
  <w:abstractNum w:abstractNumId="13">
    <w:nsid w:val="628C895D"/>
    <w:multiLevelType w:val="hybridMultilevel"/>
    <w:lvl w:ilvl="0">
      <w:lvlJc w:val="left"/>
      <w:lvlText w:val="(%1)"/>
      <w:numFmt w:val="lowerRoman"/>
      <w:start w:val="1"/>
    </w:lvl>
  </w:abstractNum>
  <w:abstractNum w:abstractNumId="14">
    <w:nsid w:val="333AB105"/>
    <w:multiLevelType w:val="hybridMultilevel"/>
    <w:lvl w:ilvl="0">
      <w:lvlJc w:val="left"/>
      <w:lvlText w:val="(%1)"/>
      <w:numFmt w:val="lowerLetter"/>
      <w:start w:val="5"/>
    </w:lvl>
  </w:abstractNum>
  <w:abstractNum w:abstractNumId="15">
    <w:nsid w:val="721DA317"/>
    <w:multiLevelType w:val="hybridMultilevel"/>
    <w:lvl w:ilvl="0">
      <w:lvlJc w:val="left"/>
      <w:lvlText w:val="(%1)"/>
      <w:numFmt w:val="lowerRoman"/>
      <w:start w:val="6"/>
    </w:lvl>
  </w:abstractNum>
  <w:abstractNum w:abstractNumId="16">
    <w:nsid w:val="2443A858"/>
    <w:multiLevelType w:val="hybridMultilevel"/>
    <w:lvl w:ilvl="0">
      <w:lvlJc w:val="left"/>
      <w:lvlText w:val="%1."/>
      <w:numFmt w:val="decimal"/>
      <w:start w:val="6"/>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5"/>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Roman"/>
      <w:start w:val="1"/>
    </w:lvl>
  </w:abstractNum>
  <w:abstractNum w:abstractNumId="22">
    <w:nsid w:val="4353D0CD"/>
    <w:multiLevelType w:val="hybridMultilevel"/>
    <w:lvl w:ilvl="0">
      <w:lvlJc w:val="left"/>
      <w:lvlText w:val="%1"/>
      <w:numFmt w:val="decimal"/>
      <w:start w:val="1"/>
    </w:lvl>
    <w:lvl w:ilvl="1">
      <w:lvlJc w:val="left"/>
      <w:lvlText w:val="(%2)"/>
      <w:numFmt w:val="lowerLetter"/>
      <w:start w:val="2"/>
    </w:lvl>
  </w:abstractNum>
  <w:abstractNum w:abstractNumId="23">
    <w:nsid w:val="B03E0C6"/>
    <w:multiLevelType w:val="hybridMultilevel"/>
    <w:lvl w:ilvl="0">
      <w:lvlJc w:val="left"/>
      <w:lvlText w:val="%1."/>
      <w:numFmt w:val="decimal"/>
      <w:start w:val="7"/>
    </w:lvl>
    <w:lvl w:ilvl="1">
      <w:lvlJc w:val="left"/>
      <w:lvlText w:val="%2"/>
      <w:numFmt w:val="lowerLetter"/>
      <w:start w:val="1"/>
    </w:lvl>
  </w:abstractNum>
  <w:abstractNum w:abstractNumId="24">
    <w:nsid w:val="189A769B"/>
    <w:multiLevelType w:val="hybridMultilevel"/>
    <w:lvl w:ilvl="0">
      <w:lvlJc w:val="left"/>
      <w:lvlText w:val="%1."/>
      <w:numFmt w:val="decimal"/>
      <w:start w:val="8"/>
    </w:lvl>
  </w:abstractNum>
  <w:abstractNum w:abstractNumId="25">
    <w:nsid w:val="54E49EB4"/>
    <w:multiLevelType w:val="hybridMultilevel"/>
    <w:lvl w:ilvl="0">
      <w:lvlJc w:val="left"/>
      <w:lvlText w:val="%1."/>
      <w:numFmt w:val="decimal"/>
      <w:start w:val="9"/>
    </w:lvl>
  </w:abstractNum>
  <w:abstractNum w:abstractNumId="26">
    <w:nsid w:val="71F32454"/>
    <w:multiLevelType w:val="hybridMultilevel"/>
    <w:lvl w:ilvl="0">
      <w:lvlJc w:val="left"/>
      <w:lvlText w:val="%1."/>
      <w:numFmt w:val="decimal"/>
      <w:start w:val="10"/>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2024-02-13T17:33:17Z</dcterms:created>
  <dcterms:modified xsi:type="dcterms:W3CDTF">2024-02-13T17:33:17Z</dcterms:modified>
</cp:coreProperties>
</file>